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93" w:rsidRDefault="003A2C93" w:rsidP="003A2C93">
      <w:pPr>
        <w:tabs>
          <w:tab w:val="center" w:pos="6930"/>
        </w:tabs>
        <w:adjustRightInd w:val="0"/>
        <w:snapToGrid w:val="0"/>
        <w:spacing w:line="360" w:lineRule="auto"/>
        <w:ind w:right="540"/>
        <w:jc w:val="left"/>
        <w:rPr>
          <w:rFonts w:ascii="华文仿宋" w:eastAsia="华文仿宋" w:hAnsi="华文仿宋"/>
          <w:bCs/>
          <w:kern w:val="0"/>
          <w:sz w:val="28"/>
          <w:szCs w:val="28"/>
        </w:rPr>
      </w:pPr>
      <w:r>
        <w:rPr>
          <w:rFonts w:ascii="华文仿宋" w:eastAsia="华文仿宋" w:hAnsi="华文仿宋"/>
          <w:bCs/>
          <w:kern w:val="0"/>
          <w:sz w:val="28"/>
          <w:szCs w:val="28"/>
        </w:rPr>
        <w:t>附</w:t>
      </w:r>
      <w:r>
        <w:rPr>
          <w:rFonts w:ascii="华文仿宋" w:eastAsia="华文仿宋" w:hAnsi="华文仿宋" w:hint="eastAsia"/>
          <w:bCs/>
          <w:kern w:val="0"/>
          <w:sz w:val="28"/>
          <w:szCs w:val="28"/>
        </w:rPr>
        <w:t>件1</w:t>
      </w:r>
    </w:p>
    <w:p w:rsidR="003A2C93" w:rsidRPr="00987FC4" w:rsidRDefault="003A2C93" w:rsidP="003A2C93">
      <w:pPr>
        <w:tabs>
          <w:tab w:val="center" w:pos="6930"/>
        </w:tabs>
        <w:adjustRightInd w:val="0"/>
        <w:snapToGrid w:val="0"/>
        <w:spacing w:line="360" w:lineRule="auto"/>
        <w:ind w:right="84"/>
        <w:jc w:val="center"/>
        <w:rPr>
          <w:rFonts w:ascii="华文仿宋" w:eastAsia="华文仿宋" w:hAnsi="华文仿宋"/>
          <w:b/>
          <w:bCs/>
          <w:color w:val="FF0000"/>
          <w:kern w:val="0"/>
          <w:sz w:val="36"/>
          <w:szCs w:val="28"/>
        </w:rPr>
      </w:pPr>
      <w:bookmarkStart w:id="0" w:name="_GoBack"/>
      <w:r w:rsidRPr="00987FC4">
        <w:rPr>
          <w:rFonts w:ascii="华文仿宋" w:eastAsia="华文仿宋" w:hAnsi="华文仿宋" w:hint="eastAsia"/>
          <w:b/>
          <w:bCs/>
          <w:kern w:val="0"/>
          <w:sz w:val="36"/>
          <w:szCs w:val="28"/>
        </w:rPr>
        <w:t>西南大学201</w:t>
      </w:r>
      <w:r w:rsidRPr="00987FC4">
        <w:rPr>
          <w:rFonts w:ascii="华文仿宋" w:eastAsia="华文仿宋" w:hAnsi="华文仿宋"/>
          <w:b/>
          <w:bCs/>
          <w:kern w:val="0"/>
          <w:sz w:val="36"/>
          <w:szCs w:val="28"/>
        </w:rPr>
        <w:t>9</w:t>
      </w:r>
      <w:r w:rsidRPr="00987FC4">
        <w:rPr>
          <w:rFonts w:ascii="华文仿宋" w:eastAsia="华文仿宋" w:hAnsi="华文仿宋" w:hint="eastAsia"/>
          <w:b/>
          <w:bCs/>
          <w:kern w:val="0"/>
          <w:sz w:val="36"/>
          <w:szCs w:val="28"/>
        </w:rPr>
        <w:t>年高校专项计划招生分省专业目录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7"/>
        <w:gridCol w:w="4016"/>
        <w:gridCol w:w="1146"/>
        <w:gridCol w:w="2391"/>
      </w:tblGrid>
      <w:tr w:rsidR="003A2C93" w:rsidTr="00791590">
        <w:trPr>
          <w:trHeight w:val="48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:rsidR="003A2C93" w:rsidRDefault="003A2C93" w:rsidP="00791590">
            <w:pPr>
              <w:widowControl/>
              <w:jc w:val="center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t>省份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t>科类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rPr>
                <w:rFonts w:ascii="华文仿宋" w:eastAsia="华文仿宋" w:hAnsi="华文仿宋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4"/>
              </w:rPr>
              <w:t>选考科目要求</w:t>
            </w:r>
          </w:p>
        </w:tc>
      </w:tr>
      <w:tr w:rsidR="003A2C93" w:rsidTr="00791590">
        <w:trPr>
          <w:trHeight w:val="90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河北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材料类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（含材料物理、金属材料工程）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（含环境科学与工程、土地资源管理）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内蒙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吉林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EA5943">
        <w:trPr>
          <w:trHeight w:val="90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黑龙江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地理科学类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（含地理信息科学、人文地理与城乡规划）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EA5943">
        <w:trPr>
          <w:trHeight w:val="84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（含园林、风景园林）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风景园林（含园林、风景园林）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浙江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综合改革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政治或历史</w:t>
            </w: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（含园林、风景园林）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综合改革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物理或化学或生物</w:t>
            </w: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2C93" w:rsidRDefault="003A2C93" w:rsidP="00791590">
            <w:pPr>
              <w:widowControl/>
              <w:jc w:val="left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C93" w:rsidRDefault="003A2C93" w:rsidP="00791590">
            <w:pPr>
              <w:widowControl/>
              <w:jc w:val="left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江西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（含机械设计制造及其自动化、车辆工作、农业机械化及其自动化）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（含园林、风景园林）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材料类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（含材料物理、金属材料工程）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（含园林、风景园林）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湖北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地理科学类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（含地理信息科学、人文地理与城乡规划）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（含园林、风景园林）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湖南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（含机械设计制造及其自动化、车辆工作、农业机械化及其自动化）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广西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海南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重庆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地理科学类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（含地理信息科学、人文地理与城乡规划）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（含机械设计制造及其自动化、车辆工作、农业机械化及其自动化）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（含园林、风景园林）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地理科学类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（含地理信息科学、人文地理与城乡规划）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材料类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（含材料物理、金属材料工程）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（含机械设计制造及其自动化、车辆工作、农业机械化及其自动化）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（含园林、风景园林）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58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云南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（含机械设计制造及其自动化、车辆工作、农业机械化及其自动化）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环境科学与工程类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、土地资源管理）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西藏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（含汉语言文学、汉语国际教育）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（含公共关系学、社会工作、文化产业管理）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工商管理类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（含工商管理、人力资源管理、会计学、旅游管理）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（含机械设计制造及其自动化、车辆工作、农业机械化及其自动化）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甘肃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文化产业管理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（含公共关系学、社会工作、文化产业管理）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材料类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（含材料物理、金属材料工程）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（含机械设计制造及其自动化、车辆工作、农业机械化及其自动化）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食品科学与工程类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（含食品质量与安全、食品科学与工程、包装工程、茶学）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青海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公共管理类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（含行政管理、哲学、政治学与行政学）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宁夏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Calibri"/>
                <w:kern w:val="0"/>
                <w:sz w:val="24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A2C93" w:rsidTr="00791590">
        <w:trPr>
          <w:trHeight w:val="482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（含植物保护、农村区域发展、农学、园艺）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华文仿宋" w:eastAsia="华文仿宋" w:hAnsi="华文仿宋" w:cs="@仿宋_GB2312" w:hint="eastAsia"/>
                <w:color w:val="000000"/>
                <w:kern w:val="0"/>
                <w:sz w:val="20"/>
                <w:szCs w:val="20"/>
                <w:lang w:bidi="ar"/>
              </w:rPr>
              <w:t>理工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C93" w:rsidRDefault="003A2C93" w:rsidP="00791590">
            <w:pPr>
              <w:widowControl/>
              <w:jc w:val="center"/>
              <w:textAlignment w:val="center"/>
              <w:rPr>
                <w:rFonts w:ascii="华文仿宋" w:eastAsia="华文仿宋" w:hAnsi="华文仿宋" w:cs="@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65650A" w:rsidRPr="003A2C93" w:rsidRDefault="003A2C93" w:rsidP="003A2C93">
      <w:pPr>
        <w:rPr>
          <w:rFonts w:hint="eastAsia"/>
        </w:rPr>
      </w:pPr>
      <w:r w:rsidRPr="003A2C93">
        <w:rPr>
          <w:rFonts w:ascii="华文仿宋" w:eastAsia="华文仿宋" w:hAnsi="华文仿宋" w:cs="@仿宋_GB2312" w:hint="eastAsia"/>
          <w:b/>
          <w:sz w:val="28"/>
          <w:szCs w:val="28"/>
        </w:rPr>
        <w:t>注：</w:t>
      </w:r>
      <w:r>
        <w:rPr>
          <w:rFonts w:ascii="华文仿宋" w:eastAsia="华文仿宋" w:hAnsi="华文仿宋" w:cs="@仿宋_GB2312" w:hint="eastAsia"/>
          <w:sz w:val="28"/>
          <w:szCs w:val="28"/>
        </w:rPr>
        <w:t>最终招生专业(类</w:t>
      </w:r>
      <w:r>
        <w:rPr>
          <w:rFonts w:ascii="华文仿宋" w:eastAsia="华文仿宋" w:hAnsi="华文仿宋" w:cs="@仿宋_GB2312"/>
          <w:sz w:val="28"/>
          <w:szCs w:val="28"/>
        </w:rPr>
        <w:t>)</w:t>
      </w:r>
      <w:r>
        <w:rPr>
          <w:rFonts w:ascii="华文仿宋" w:eastAsia="华文仿宋" w:hAnsi="华文仿宋" w:cs="@仿宋_GB2312" w:hint="eastAsia"/>
          <w:sz w:val="28"/>
          <w:szCs w:val="28"/>
        </w:rPr>
        <w:t>及计划数以各省级招生考试机构公布为准。</w:t>
      </w:r>
    </w:p>
    <w:sectPr w:rsidR="0065650A" w:rsidRPr="003A2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9C" w:rsidRDefault="000B139C" w:rsidP="00E44940">
      <w:pPr>
        <w:rPr>
          <w:rFonts w:hint="eastAsia"/>
        </w:rPr>
      </w:pPr>
      <w:r>
        <w:separator/>
      </w:r>
    </w:p>
  </w:endnote>
  <w:endnote w:type="continuationSeparator" w:id="0">
    <w:p w:rsidR="000B139C" w:rsidRDefault="000B139C" w:rsidP="00E449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仿宋_GB2312">
    <w:altName w:val="@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9C" w:rsidRDefault="000B139C" w:rsidP="00E44940">
      <w:pPr>
        <w:rPr>
          <w:rFonts w:hint="eastAsia"/>
        </w:rPr>
      </w:pPr>
      <w:r>
        <w:separator/>
      </w:r>
    </w:p>
  </w:footnote>
  <w:footnote w:type="continuationSeparator" w:id="0">
    <w:p w:rsidR="000B139C" w:rsidRDefault="000B139C" w:rsidP="00E449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6"/>
    <w:rsid w:val="000B139C"/>
    <w:rsid w:val="003A2C93"/>
    <w:rsid w:val="00445AE6"/>
    <w:rsid w:val="0065650A"/>
    <w:rsid w:val="0098025B"/>
    <w:rsid w:val="00987FC4"/>
    <w:rsid w:val="009A4940"/>
    <w:rsid w:val="00A5293B"/>
    <w:rsid w:val="00E44940"/>
    <w:rsid w:val="00EA3704"/>
    <w:rsid w:val="00E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587079-3711-4495-93EA-658D2D0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93"/>
    <w:pPr>
      <w:widowControl w:val="0"/>
      <w:jc w:val="both"/>
    </w:pPr>
    <w:rPr>
      <w:rFonts w:ascii="Cambria Math" w:eastAsia="@仿宋_GB2312" w:hAnsi="Cambria Math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9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陈玖豪</dc:creator>
  <cp:keywords/>
  <dc:description/>
  <cp:lastModifiedBy>陈玖豪</cp:lastModifiedBy>
  <cp:revision>8</cp:revision>
  <dcterms:created xsi:type="dcterms:W3CDTF">2019-04-10T11:45:00Z</dcterms:created>
  <dcterms:modified xsi:type="dcterms:W3CDTF">2019-04-10T11:48:00Z</dcterms:modified>
</cp:coreProperties>
</file>