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20" w:rsidRPr="00282805" w:rsidRDefault="00000820" w:rsidP="00000820">
      <w:pPr>
        <w:pStyle w:val="a5"/>
        <w:spacing w:line="520" w:lineRule="exact"/>
        <w:rPr>
          <w:rFonts w:ascii="黑体" w:eastAsia="黑体" w:hAnsi="黑体" w:cs="Times New Roman"/>
          <w:snapToGrid w:val="0"/>
          <w:sz w:val="32"/>
          <w:szCs w:val="32"/>
        </w:rPr>
      </w:pPr>
      <w:r w:rsidRPr="00282805">
        <w:rPr>
          <w:rFonts w:ascii="黑体" w:eastAsia="黑体" w:hAnsi="黑体" w:cs="Times New Roman"/>
          <w:snapToGrid w:val="0"/>
          <w:sz w:val="32"/>
          <w:szCs w:val="32"/>
        </w:rPr>
        <w:t>附件</w:t>
      </w:r>
      <w:r w:rsidRPr="00282805">
        <w:rPr>
          <w:rFonts w:ascii="黑体" w:eastAsia="黑体" w:hAnsi="黑体" w:cs="Times New Roman" w:hint="eastAsia"/>
          <w:snapToGrid w:val="0"/>
          <w:sz w:val="32"/>
          <w:szCs w:val="32"/>
        </w:rPr>
        <w:t>1</w:t>
      </w:r>
    </w:p>
    <w:p w:rsidR="00000820" w:rsidRPr="00282805" w:rsidRDefault="00000820" w:rsidP="00000820">
      <w:pPr>
        <w:spacing w:line="520" w:lineRule="exact"/>
        <w:jc w:val="center"/>
        <w:rPr>
          <w:rFonts w:ascii="宋体" w:eastAsia="方正小标宋简体" w:hAnsi="宋体"/>
          <w:snapToGrid w:val="0"/>
          <w:sz w:val="36"/>
          <w:szCs w:val="36"/>
        </w:rPr>
      </w:pPr>
    </w:p>
    <w:p w:rsidR="00000820" w:rsidRPr="00D4588D" w:rsidRDefault="00000820" w:rsidP="00000820">
      <w:pPr>
        <w:spacing w:line="520" w:lineRule="exact"/>
        <w:jc w:val="center"/>
        <w:rPr>
          <w:rFonts w:ascii="宋体" w:eastAsia="方正小标宋简体" w:hAnsi="宋体"/>
          <w:snapToGrid w:val="0"/>
          <w:sz w:val="36"/>
          <w:szCs w:val="36"/>
        </w:rPr>
      </w:pPr>
      <w:r w:rsidRPr="00D4588D">
        <w:rPr>
          <w:rFonts w:ascii="宋体" w:eastAsia="方正小标宋简体" w:hAnsi="宋体" w:hint="eastAsia"/>
          <w:snapToGrid w:val="0"/>
          <w:sz w:val="36"/>
          <w:szCs w:val="36"/>
        </w:rPr>
        <w:t>教育部、卫生部、中国残疾人联合会关于印发</w:t>
      </w:r>
    </w:p>
    <w:p w:rsidR="00000820" w:rsidRPr="00D4588D" w:rsidRDefault="00000820" w:rsidP="00000820">
      <w:pPr>
        <w:spacing w:line="520" w:lineRule="exact"/>
        <w:jc w:val="center"/>
        <w:rPr>
          <w:rFonts w:ascii="宋体" w:eastAsia="方正小标宋简体" w:hAnsi="宋体"/>
          <w:snapToGrid w:val="0"/>
          <w:sz w:val="36"/>
          <w:szCs w:val="36"/>
        </w:rPr>
      </w:pPr>
      <w:r w:rsidRPr="00D4588D">
        <w:rPr>
          <w:rFonts w:ascii="宋体" w:eastAsia="方正小标宋简体" w:hAnsi="宋体" w:hint="eastAsia"/>
          <w:snapToGrid w:val="0"/>
          <w:sz w:val="36"/>
          <w:szCs w:val="36"/>
        </w:rPr>
        <w:t>普通高等学校招生体检工作指导意见的通知</w:t>
      </w:r>
    </w:p>
    <w:p w:rsidR="00000820" w:rsidRPr="00B75EF4" w:rsidRDefault="00000820" w:rsidP="00000820">
      <w:pPr>
        <w:spacing w:line="520" w:lineRule="exact"/>
        <w:jc w:val="center"/>
        <w:rPr>
          <w:rFonts w:ascii="仿宋" w:eastAsia="仿宋" w:hAnsi="仿宋"/>
          <w:snapToGrid w:val="0"/>
        </w:rPr>
      </w:pPr>
      <w:r w:rsidRPr="00B75EF4">
        <w:rPr>
          <w:rFonts w:ascii="仿宋" w:eastAsia="仿宋" w:hAnsi="仿宋" w:hint="eastAsia"/>
          <w:snapToGrid w:val="0"/>
        </w:rPr>
        <w:t>教学</w:t>
      </w:r>
      <w:r w:rsidRPr="00B75EF4">
        <w:rPr>
          <w:rFonts w:ascii="仿宋" w:eastAsia="仿宋" w:hAnsi="仿宋"/>
          <w:snapToGrid w:val="0"/>
        </w:rPr>
        <w:t>〔</w:t>
      </w:r>
      <w:r w:rsidRPr="00B75EF4">
        <w:rPr>
          <w:rFonts w:ascii="仿宋" w:eastAsia="仿宋" w:hAnsi="仿宋" w:hint="eastAsia"/>
          <w:snapToGrid w:val="0"/>
        </w:rPr>
        <w:t>2003</w:t>
      </w:r>
      <w:r w:rsidRPr="00B75EF4">
        <w:rPr>
          <w:rFonts w:ascii="仿宋" w:eastAsia="仿宋" w:hAnsi="仿宋"/>
          <w:snapToGrid w:val="0"/>
        </w:rPr>
        <w:t>〕</w:t>
      </w:r>
      <w:r w:rsidRPr="00B75EF4">
        <w:rPr>
          <w:rFonts w:ascii="仿宋" w:eastAsia="仿宋" w:hAnsi="仿宋" w:hint="eastAsia"/>
          <w:snapToGrid w:val="0"/>
        </w:rPr>
        <w:t>3</w:t>
      </w:r>
      <w:r w:rsidRPr="00B75EF4">
        <w:rPr>
          <w:rFonts w:ascii="仿宋" w:eastAsia="仿宋" w:hAnsi="仿宋"/>
          <w:snapToGrid w:val="0"/>
        </w:rPr>
        <w:t>号</w:t>
      </w:r>
    </w:p>
    <w:p w:rsidR="00000820" w:rsidRPr="00B75EF4" w:rsidRDefault="00000820" w:rsidP="00000820">
      <w:pPr>
        <w:spacing w:line="520" w:lineRule="exact"/>
        <w:jc w:val="center"/>
        <w:rPr>
          <w:rFonts w:ascii="仿宋" w:eastAsia="仿宋" w:hAnsi="仿宋"/>
          <w:snapToGrid w:val="0"/>
        </w:rPr>
      </w:pP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 xml:space="preserve">随着我国经济社会的快速发展，社会文明程度的进一步提高，我国高等教育开始进入大众化阶段，大学生就业已实行双向选择，原在普通高等学校招生中实行的《普通高等学校招生体检标准》已不能适应新形势的要求。为此，在充分征求高等学校、教育行政部门和卫生部门意见的基础上，教育部、卫生部、中国残疾人联合会制定了《普通高等学校招生体检工作指导意见》（简称《指导意见》），并在2003年普通高等学校招生中实行。为做好普通高等学校招生体检工作，现将有关事项通知如下： </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一、《指导意见》是深入贯彻依法行政、依法治招、进一步扩大高等学校招生自主权，明确高等学校在招生体检方面的责任、深化高等学校招生管理体制改革的重要举措，体现了对所有考生权益的保护，对残疾考生的关爱和以人为本的理念。</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二、《指导意见》对普通高等学校录取新生身体状况的要求与原《普通高等学校招生体检标准》不同的是：</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1．进一步放宽对患疾病或生理缺陷者的录取要求。除患有传染性疾病、精神性疾病、血液病、心脏病、高血压等无法完成学业的疾病及学习不能自理的考生，高等学校可以不予录取外，</w:t>
      </w:r>
      <w:r w:rsidRPr="008A4270">
        <w:rPr>
          <w:rFonts w:ascii="仿宋" w:eastAsia="仿宋" w:hAnsi="仿宋" w:cs="Times New Roman" w:hint="eastAsia"/>
          <w:snapToGrid w:val="0"/>
          <w:sz w:val="32"/>
          <w:szCs w:val="32"/>
        </w:rPr>
        <w:lastRenderedPageBreak/>
        <w:t xml:space="preserve">对患有其他疾病的考生，只要不影响专业学习和其他学生，录取时一般应不受限制。 </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 xml:space="preserve">2．对原体检标准规定患有某种疾病或生理缺陷的考生不能录取的专业进行了调整。明确了由于所患某种疾病或生理缺陷，不能按专业培养方案完成学业的录取受限专业；对患有不影响专业学习的某种疾病或生理缺陷，但今后对在该专业领域内就业可能有影响的，提出不宜就读专业的指导性建议，考生可根据自身情况选报专业。 </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 xml:space="preserve">3．由于视力及肝功不正常等方面的原因，高等学校可限定部分专业不予录取。 </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 xml:space="preserve">4．对肢体残疾、不影响所报专业学习，且高考成绩达到录取要求的考生，高等学校不能因其残疾而不予录取。 </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 xml:space="preserve">5．高等学校应对入学新生的身体健康状况进行复查，对复查后不能进行正常学习的，按学籍管理规定处理。 </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三、《指导意见》只作为高等学校录取新生时对其身体健康状况要求的指导性意见。高等学校可根据本校的办学条件和专业培养要求，提出对考生身体健康状况的补充规定，补充规定必须合法、合理，有详细的说明和解释，但不得以不具备办学条件或不符合培养要求为由，拒收确能进行所报专业学习的残疾考生。补充规定要在招生章程中向社会公布。</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四、普通高等学校招生体检工作，是高等学校录取时对考生进行德智体全面考核的一项重要内容，各省、自治区、直辖市招生委员会和高等学校要充分重视，并根据本通知的有关要求，制定详细的实施办法，向社会做好宣传解释工作。省级招办在</w:t>
      </w:r>
      <w:r w:rsidRPr="008A4270">
        <w:rPr>
          <w:rFonts w:ascii="仿宋" w:eastAsia="仿宋" w:hAnsi="仿宋" w:cs="Times New Roman" w:hint="eastAsia"/>
          <w:snapToGrid w:val="0"/>
          <w:sz w:val="32"/>
          <w:szCs w:val="32"/>
        </w:rPr>
        <w:lastRenderedPageBreak/>
        <w:t>录取阶段要给高等学校提供完整、清晰的考生体检电子档案，以便于高等学校录取时审核。残疾考生招生工作是高校招生工作的有机组成部分，省级招生委员会可吸收本省残联作为成员单位，加强协调与合作。</w:t>
      </w:r>
    </w:p>
    <w:p w:rsidR="0000082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五、原《普通高等学校招生体检标准》从本通知发布之日起停止执行。</w:t>
      </w:r>
    </w:p>
    <w:p w:rsidR="00000820" w:rsidRPr="008A4270" w:rsidRDefault="00000820" w:rsidP="00000820">
      <w:pPr>
        <w:pStyle w:val="a5"/>
        <w:spacing w:line="520" w:lineRule="exact"/>
        <w:ind w:firstLineChars="219" w:firstLine="683"/>
        <w:rPr>
          <w:rFonts w:ascii="仿宋" w:eastAsia="仿宋" w:hAnsi="仿宋" w:cs="Times New Roman"/>
          <w:snapToGrid w:val="0"/>
          <w:sz w:val="32"/>
          <w:szCs w:val="32"/>
        </w:rPr>
      </w:pPr>
      <w:r w:rsidRPr="008A4270">
        <w:rPr>
          <w:rFonts w:ascii="仿宋" w:eastAsia="仿宋" w:hAnsi="仿宋" w:cs="Times New Roman" w:hint="eastAsia"/>
          <w:snapToGrid w:val="0"/>
          <w:sz w:val="32"/>
          <w:szCs w:val="32"/>
        </w:rPr>
        <w:t>六、请各省、自治区、直辖市招生委员会将本通知及《指导意见》尽快转发至本地区各高等学校。</w:t>
      </w:r>
    </w:p>
    <w:p w:rsidR="00000820" w:rsidRPr="008A4270" w:rsidRDefault="00000820" w:rsidP="00000820">
      <w:pPr>
        <w:pStyle w:val="a5"/>
        <w:spacing w:line="520" w:lineRule="exact"/>
        <w:rPr>
          <w:rFonts w:ascii="仿宋" w:eastAsia="仿宋" w:hAnsi="仿宋" w:cs="Times New Roman"/>
          <w:snapToGrid w:val="0"/>
          <w:sz w:val="32"/>
          <w:szCs w:val="32"/>
        </w:rPr>
      </w:pPr>
    </w:p>
    <w:p w:rsidR="00000820" w:rsidRDefault="00000820" w:rsidP="00000820">
      <w:pPr>
        <w:pStyle w:val="a5"/>
        <w:spacing w:line="520" w:lineRule="exact"/>
        <w:jc w:val="center"/>
        <w:rPr>
          <w:rFonts w:eastAsia="方正小标宋简体" w:hAnsi="宋体" w:cs="Times New Roman"/>
          <w:snapToGrid w:val="0"/>
          <w:sz w:val="36"/>
          <w:szCs w:val="36"/>
        </w:rPr>
        <w:sectPr w:rsidR="00000820" w:rsidSect="003D1D1D">
          <w:pgSz w:w="11906" w:h="16838" w:code="9"/>
          <w:pgMar w:top="2098" w:right="1588" w:bottom="1985" w:left="1588" w:header="851" w:footer="1701" w:gutter="0"/>
          <w:cols w:space="425"/>
          <w:docGrid w:type="linesAndChars" w:linePitch="579" w:charSpace="-1683"/>
        </w:sectPr>
      </w:pPr>
    </w:p>
    <w:p w:rsidR="00000820" w:rsidRPr="00282805" w:rsidRDefault="00000820" w:rsidP="00000820">
      <w:pPr>
        <w:pStyle w:val="a5"/>
        <w:spacing w:line="520" w:lineRule="exact"/>
        <w:jc w:val="center"/>
        <w:rPr>
          <w:rFonts w:eastAsia="方正小标宋简体" w:hAnsi="宋体" w:cs="Times New Roman"/>
          <w:snapToGrid w:val="0"/>
          <w:sz w:val="36"/>
          <w:szCs w:val="36"/>
        </w:rPr>
      </w:pPr>
      <w:r w:rsidRPr="00282805">
        <w:rPr>
          <w:rFonts w:eastAsia="方正小标宋简体" w:hAnsi="宋体" w:cs="Times New Roman" w:hint="eastAsia"/>
          <w:snapToGrid w:val="0"/>
          <w:sz w:val="36"/>
          <w:szCs w:val="36"/>
        </w:rPr>
        <w:lastRenderedPageBreak/>
        <w:t>普通高等学校招生体检工作指导意见</w:t>
      </w:r>
    </w:p>
    <w:p w:rsidR="00000820" w:rsidRPr="00282805" w:rsidRDefault="00000820" w:rsidP="00000820">
      <w:pPr>
        <w:pStyle w:val="a5"/>
        <w:spacing w:line="520" w:lineRule="exact"/>
        <w:jc w:val="center"/>
        <w:rPr>
          <w:rFonts w:eastAsia="方正小标宋简体" w:hAnsi="宋体" w:cs="Times New Roman"/>
          <w:snapToGrid w:val="0"/>
          <w:sz w:val="36"/>
          <w:szCs w:val="36"/>
        </w:rPr>
      </w:pPr>
    </w:p>
    <w:p w:rsidR="00000820" w:rsidRDefault="00000820" w:rsidP="00000820">
      <w:pPr>
        <w:pStyle w:val="a5"/>
        <w:spacing w:line="520" w:lineRule="exact"/>
        <w:ind w:firstLineChars="206" w:firstLine="659"/>
        <w:rPr>
          <w:rFonts w:eastAsia="黑体" w:hAnsi="宋体" w:cs="Times New Roman"/>
          <w:snapToGrid w:val="0"/>
          <w:sz w:val="32"/>
          <w:szCs w:val="32"/>
        </w:rPr>
      </w:pPr>
      <w:r w:rsidRPr="00282805">
        <w:rPr>
          <w:rFonts w:eastAsia="黑体" w:hAnsi="宋体" w:cs="Times New Roman"/>
          <w:snapToGrid w:val="0"/>
          <w:sz w:val="32"/>
          <w:szCs w:val="32"/>
        </w:rPr>
        <w:t>一、患有下列疾病者，学校可以不予录取：</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1.严重心脏病（先天性心脏病经手术治愈，或房室间隔缺损分流量少，动脉导管未闭返流血量少，经二级以上医院专科检查确定无需手术者除外）、心肌病、高血压病。</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2.重症支气管扩张、哮喘，恶性肿瘤、慢性肾炎、尿毒症。</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3.严重的血液、内分泌及代谢系统疾病、风湿性疾病。</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4.重症或难治性癫痫或其他神经系统疾病；严重精神病未治愈、精神活性物质滥用和依赖。</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5.慢性肝炎病人并且肝功能不正常者（肝炎病原携带者但肝功能正常者除外）。</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6.结核病除下列情况外可以不予录取：</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（1）原发型肺结核、浸润性肺结核已硬结稳定；结核型胸膜炎已治愈或治愈后遗有胸膜肥厚者；</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（2）一切肺外结核</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肾结核、骨结核、腹膜结核等</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、血行性播散型肺结核治愈后一年以上未复发，经二级以上医院</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或结核病防治所</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专科检查无变化者；</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（3）淋巴腺结核已临床治愈无症状者。</w:t>
      </w:r>
    </w:p>
    <w:p w:rsidR="00000820" w:rsidRDefault="00000820" w:rsidP="00000820">
      <w:pPr>
        <w:pStyle w:val="a5"/>
        <w:spacing w:line="520" w:lineRule="exact"/>
        <w:ind w:firstLineChars="206" w:firstLine="659"/>
        <w:rPr>
          <w:rFonts w:eastAsia="黑体" w:hAnsi="宋体" w:cs="Times New Roman"/>
          <w:snapToGrid w:val="0"/>
          <w:sz w:val="32"/>
          <w:szCs w:val="32"/>
        </w:rPr>
      </w:pPr>
      <w:r w:rsidRPr="00282805">
        <w:rPr>
          <w:rFonts w:eastAsia="黑体" w:hAnsi="宋体" w:cs="Times New Roman"/>
          <w:snapToGrid w:val="0"/>
          <w:sz w:val="32"/>
          <w:szCs w:val="32"/>
        </w:rPr>
        <w:t>二、患有下列疾病者，学校有关专业可不予录取：</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1.轻度色觉异常（俗称色弱）不能录取的专业：以颜色波长作为严格技术标准的化学类、化工与制药类、药学类、生物科学类、公安技术类、地质学类各专业，医学类各专业；生物工程、生物医学工程、动物医学、动物科学、野生动物与自然保护区管理、心理学、应用心理学、生态学、侦查学、</w:t>
      </w:r>
      <w:r w:rsidRPr="008A4270">
        <w:rPr>
          <w:rFonts w:ascii="仿宋" w:eastAsia="仿宋" w:hAnsi="仿宋" w:cs="Times New Roman"/>
          <w:snapToGrid w:val="0"/>
          <w:sz w:val="32"/>
          <w:szCs w:val="32"/>
        </w:rPr>
        <w:lastRenderedPageBreak/>
        <w:t>特种能源工程与烟火技术、考古学、海洋科学、海洋技术、轮机工程、食品科学与工程、轻化工程、林产化工、农学、园艺、植物保护、茶学、林学、园林、蚕学、农业资源与环境、水产养殖学、海洋渔业科学与技术、材料化学、环境工程、高分子材料与工程、过程装备与控制工程、学前教育、特殊教育、体育教育、运动训练、运动人体科学、民族传统体育各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2.色觉异常Ⅱ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3.不能准确识别红、黄、绿、兰、紫各种颜色中任何一种颜色的导线、按键、信号灯、几何图形者不能录取的专业：除同轻度色觉异常、色觉异常Ⅱ度两类列出专业外，还包括经济学类、管理科学与工程类、工商管理类、公共管理类、农业经济管理类、图书档案学类各专业。不能准确在显示器上识别红、黄、绿、蓝、紫各颜色中任何一种颜色的数码、字母者不能录取到计算机科学与技术等专业。</w:t>
      </w:r>
    </w:p>
    <w:p w:rsidR="00000820" w:rsidRDefault="00000820" w:rsidP="00000820">
      <w:pPr>
        <w:pStyle w:val="a5"/>
        <w:spacing w:line="520" w:lineRule="exact"/>
        <w:ind w:firstLineChars="206" w:firstLine="659"/>
        <w:rPr>
          <w:rFonts w:ascii="仿宋" w:eastAsia="仿宋" w:hAnsi="仿宋" w:cs="Times New Roman"/>
          <w:snapToGrid w:val="0"/>
          <w:spacing w:val="-6"/>
          <w:sz w:val="32"/>
          <w:szCs w:val="32"/>
        </w:rPr>
      </w:pPr>
      <w:r w:rsidRPr="008A4270">
        <w:rPr>
          <w:rFonts w:ascii="仿宋" w:eastAsia="仿宋" w:hAnsi="仿宋" w:cs="Times New Roman"/>
          <w:snapToGrid w:val="0"/>
          <w:sz w:val="32"/>
          <w:szCs w:val="32"/>
        </w:rPr>
        <w:t>4.</w:t>
      </w:r>
      <w:r w:rsidRPr="008A4270">
        <w:rPr>
          <w:rFonts w:ascii="仿宋" w:eastAsia="仿宋" w:hAnsi="仿宋" w:cs="Times New Roman"/>
          <w:snapToGrid w:val="0"/>
          <w:spacing w:val="-6"/>
          <w:sz w:val="32"/>
          <w:szCs w:val="32"/>
        </w:rPr>
        <w:t>裸眼视力任何一眼低于5.0者，不能录取的专业：飞行技术、航海技术、消防工程、刑事科学技术、侦察。专科专业：海洋船舶驾驶及与以上专业相同相近专业</w:t>
      </w:r>
      <w:r w:rsidRPr="008A4270">
        <w:rPr>
          <w:rFonts w:ascii="仿宋" w:eastAsia="仿宋" w:hAnsi="仿宋" w:cs="Times New Roman" w:hint="eastAsia"/>
          <w:snapToGrid w:val="0"/>
          <w:spacing w:val="-6"/>
          <w:sz w:val="32"/>
          <w:szCs w:val="32"/>
        </w:rPr>
        <w:t>（</w:t>
      </w:r>
      <w:r w:rsidRPr="008A4270">
        <w:rPr>
          <w:rFonts w:ascii="仿宋" w:eastAsia="仿宋" w:hAnsi="仿宋" w:cs="Times New Roman"/>
          <w:snapToGrid w:val="0"/>
          <w:spacing w:val="-6"/>
          <w:sz w:val="32"/>
          <w:szCs w:val="32"/>
        </w:rPr>
        <w:t>如民航空中交通管制</w:t>
      </w:r>
      <w:r w:rsidRPr="008A4270">
        <w:rPr>
          <w:rFonts w:ascii="仿宋" w:eastAsia="仿宋" w:hAnsi="仿宋" w:cs="Times New Roman" w:hint="eastAsia"/>
          <w:snapToGrid w:val="0"/>
          <w:spacing w:val="-6"/>
          <w:sz w:val="32"/>
          <w:szCs w:val="32"/>
        </w:rPr>
        <w:t>）。</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5.裸眼视力任何一眼低于4.8者，不能录取的专业：轮机工程、运动训练、民族传统体育。专科专业：烹饪与营养、</w:t>
      </w:r>
      <w:r w:rsidRPr="008A4270">
        <w:rPr>
          <w:rFonts w:ascii="仿宋" w:eastAsia="仿宋" w:hAnsi="仿宋" w:cs="Times New Roman"/>
          <w:snapToGrid w:val="0"/>
          <w:sz w:val="32"/>
          <w:szCs w:val="32"/>
        </w:rPr>
        <w:lastRenderedPageBreak/>
        <w:t>烹饪工艺。</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6.乙型肝炎表面抗原携带者不能录取的专业：学前教育、航海技术、飞行技术等。专科专业：面点工艺、西餐工艺、烹饪与营养、烹饪工艺、食品科学与工程等</w:t>
      </w:r>
      <w:r w:rsidRPr="008A4270">
        <w:rPr>
          <w:rFonts w:ascii="仿宋" w:eastAsia="仿宋" w:hAnsi="仿宋" w:cs="Times New Roman" w:hint="eastAsia"/>
          <w:snapToGrid w:val="0"/>
          <w:sz w:val="32"/>
          <w:szCs w:val="32"/>
        </w:rPr>
        <w:t>（注：此条已经取消，详见教育部办公厅、卫生部办公厅《关于普通高等学校招生学生入学身体检查取消乙肝项目检测有关问题的通知》（教学厅〔2010〕2号））</w:t>
      </w:r>
      <w:r w:rsidRPr="008A4270">
        <w:rPr>
          <w:rFonts w:ascii="仿宋" w:eastAsia="仿宋" w:hAnsi="仿宋" w:cs="Times New Roman"/>
          <w:snapToGrid w:val="0"/>
          <w:sz w:val="32"/>
          <w:szCs w:val="32"/>
        </w:rPr>
        <w:t>。</w:t>
      </w:r>
    </w:p>
    <w:p w:rsidR="00000820" w:rsidRDefault="00000820" w:rsidP="00000820">
      <w:pPr>
        <w:pStyle w:val="a5"/>
        <w:spacing w:line="520" w:lineRule="exact"/>
        <w:ind w:firstLineChars="206" w:firstLine="659"/>
        <w:rPr>
          <w:rFonts w:eastAsia="黑体" w:hAnsi="宋体" w:cs="Times New Roman"/>
          <w:snapToGrid w:val="0"/>
          <w:sz w:val="32"/>
          <w:szCs w:val="32"/>
        </w:rPr>
      </w:pPr>
      <w:r w:rsidRPr="00282805">
        <w:rPr>
          <w:rFonts w:eastAsia="黑体" w:hAnsi="宋体" w:cs="Times New Roman"/>
          <w:snapToGrid w:val="0"/>
          <w:sz w:val="32"/>
          <w:szCs w:val="32"/>
        </w:rPr>
        <w:t>三、患有下列疾病不宜就读的专业：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以及土木工程、消防工程、农业水利工程、农学、法医学、水土保持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2.先天性心脏病经手术治愈，或房室间隔缺损分流量少，动脉导管未闭返流血量少，经二级以上医院专科检查确定无需手术者不宜就读的专业同第三部分第一条。</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3.肢体残疾（不继续恶化），不宜就读的专业同第三部分第一条。</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lastRenderedPageBreak/>
        <w:t>4.屈光不正</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近视眼或远视眼，下同</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任何一眼矫正到4.8，镜片度数大于400度的，不宜就读海洋技术、海洋科学、测控技术与仪器、核工程与核技术、生物医学工程、服装设计与工程、飞行器制造工程。专科专业：与以上相同或相近专业。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5.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6.一眼失明另一眼矫正到4.8，镜片度数大于400度的，不宜就读工学、农学、医学、法学各专业及应用物理学、应用化学、生物技术、地质学、生态学、环境科学、海洋科学、海洋技术、生物科学、应用心理学等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7.两耳听力均在</w:t>
      </w:r>
      <w:smartTag w:uri="urn:schemas-microsoft-com:office:smarttags" w:element="chmetcnv">
        <w:smartTagPr>
          <w:attr w:name="TCSC" w:val="0"/>
          <w:attr w:name="NumberType" w:val="1"/>
          <w:attr w:name="Negative" w:val="False"/>
          <w:attr w:name="HasSpace" w:val="False"/>
          <w:attr w:name="SourceValue" w:val="3"/>
          <w:attr w:name="UnitName" w:val="米"/>
        </w:smartTagPr>
        <w:r w:rsidRPr="008A4270">
          <w:rPr>
            <w:rFonts w:ascii="仿宋" w:eastAsia="仿宋" w:hAnsi="仿宋" w:cs="Times New Roman"/>
            <w:snapToGrid w:val="0"/>
            <w:sz w:val="32"/>
            <w:szCs w:val="32"/>
          </w:rPr>
          <w:t>3米</w:t>
        </w:r>
      </w:smartTag>
      <w:r w:rsidRPr="008A4270">
        <w:rPr>
          <w:rFonts w:ascii="仿宋" w:eastAsia="仿宋" w:hAnsi="仿宋" w:cs="Times New Roman"/>
          <w:snapToGrid w:val="0"/>
          <w:sz w:val="32"/>
          <w:szCs w:val="32"/>
        </w:rPr>
        <w:t>以内，或一耳听力在</w:t>
      </w:r>
      <w:smartTag w:uri="urn:schemas-microsoft-com:office:smarttags" w:element="chmetcnv">
        <w:smartTagPr>
          <w:attr w:name="TCSC" w:val="0"/>
          <w:attr w:name="NumberType" w:val="1"/>
          <w:attr w:name="Negative" w:val="False"/>
          <w:attr w:name="HasSpace" w:val="False"/>
          <w:attr w:name="SourceValue" w:val="5"/>
          <w:attr w:name="UnitName" w:val="米"/>
        </w:smartTagPr>
        <w:r w:rsidRPr="008A4270">
          <w:rPr>
            <w:rFonts w:ascii="仿宋" w:eastAsia="仿宋" w:hAnsi="仿宋" w:cs="Times New Roman"/>
            <w:snapToGrid w:val="0"/>
            <w:sz w:val="32"/>
            <w:szCs w:val="32"/>
          </w:rPr>
          <w:t>5米</w:t>
        </w:r>
      </w:smartTag>
      <w:r w:rsidRPr="008A4270">
        <w:rPr>
          <w:rFonts w:ascii="仿宋" w:eastAsia="仿宋" w:hAnsi="仿宋" w:cs="Times New Roman"/>
          <w:snapToGrid w:val="0"/>
          <w:sz w:val="32"/>
          <w:szCs w:val="32"/>
        </w:rPr>
        <w:t>另一耳全聋的，不宜就读法学各专业、外国语言文学各专业以及外交学、新闻学、侦察学、学前教育、音乐学、录音艺术、土木工程、交通运输、动物科学、动物医学各专业、医学各专业。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8.嗅觉迟钝、口吃、步态异常、驼背，面部疤痕、血管瘤、黑色素痣、白癜风的，不宜就读教育学类、公安学类各专业以及外交学、法学、新闻学、音乐表演、表演各专业。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9.斜视、嗅觉迟钝、口吃不宜就读医学类专业。</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lastRenderedPageBreak/>
        <w:t>此部分内容供考生在报考专业志愿时参考。学校不得以此为依据，拒绝录取达到相关要求的考生。</w:t>
      </w:r>
    </w:p>
    <w:p w:rsidR="00000820" w:rsidRDefault="00000820" w:rsidP="00000820">
      <w:pPr>
        <w:pStyle w:val="a5"/>
        <w:spacing w:line="520" w:lineRule="exact"/>
        <w:ind w:firstLineChars="206" w:firstLine="659"/>
        <w:rPr>
          <w:rFonts w:eastAsia="黑体" w:hAnsi="宋体" w:cs="Times New Roman"/>
          <w:snapToGrid w:val="0"/>
          <w:sz w:val="32"/>
          <w:szCs w:val="32"/>
        </w:rPr>
      </w:pPr>
      <w:r w:rsidRPr="00282805">
        <w:rPr>
          <w:rFonts w:eastAsia="黑体" w:hAnsi="宋体" w:cs="Times New Roman"/>
          <w:snapToGrid w:val="0"/>
          <w:sz w:val="32"/>
          <w:szCs w:val="32"/>
        </w:rPr>
        <w:t>四、其他</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1.未列入专业目录或经教育部批准有权自定新的学科专业，学校招生时可根据专业性质、特点，提出学习本专业对身体素质、生理条件的要求，并在招生章程中明确刊登，做好咨询解释工作。</w:t>
      </w:r>
    </w:p>
    <w:p w:rsidR="0000082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2.公安类普通高等学校招生体检按公政治</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2000</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137号文件执行。</w:t>
      </w:r>
    </w:p>
    <w:p w:rsidR="00000820" w:rsidRPr="008A4270" w:rsidRDefault="00000820" w:rsidP="00000820">
      <w:pPr>
        <w:pStyle w:val="a5"/>
        <w:spacing w:line="520" w:lineRule="exact"/>
        <w:ind w:firstLineChars="206" w:firstLine="659"/>
        <w:rPr>
          <w:rFonts w:ascii="仿宋" w:eastAsia="仿宋" w:hAnsi="仿宋" w:cs="Times New Roman"/>
          <w:snapToGrid w:val="0"/>
          <w:sz w:val="32"/>
          <w:szCs w:val="32"/>
        </w:rPr>
      </w:pPr>
      <w:r w:rsidRPr="008A4270">
        <w:rPr>
          <w:rFonts w:ascii="仿宋" w:eastAsia="仿宋" w:hAnsi="仿宋" w:cs="Times New Roman"/>
          <w:snapToGrid w:val="0"/>
          <w:sz w:val="32"/>
          <w:szCs w:val="32"/>
        </w:rPr>
        <w:t>3.中国人民解放军院校招收学员体格检查按</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1997</w:t>
      </w:r>
      <w:r w:rsidRPr="008A4270">
        <w:rPr>
          <w:rFonts w:ascii="仿宋" w:eastAsia="仿宋" w:hAnsi="仿宋" w:cs="Times New Roman" w:hint="eastAsia"/>
          <w:snapToGrid w:val="0"/>
          <w:sz w:val="32"/>
          <w:szCs w:val="32"/>
        </w:rPr>
        <w:t>〕</w:t>
      </w:r>
      <w:r w:rsidRPr="008A4270">
        <w:rPr>
          <w:rFonts w:ascii="仿宋" w:eastAsia="仿宋" w:hAnsi="仿宋" w:cs="Times New Roman"/>
          <w:snapToGrid w:val="0"/>
          <w:sz w:val="32"/>
          <w:szCs w:val="32"/>
        </w:rPr>
        <w:t>后联宇2号文件执行。</w:t>
      </w:r>
    </w:p>
    <w:p w:rsidR="00121793" w:rsidRDefault="00121793">
      <w:bookmarkStart w:id="0" w:name="_GoBack"/>
      <w:bookmarkEnd w:id="0"/>
    </w:p>
    <w:sectPr w:rsidR="00121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68" w:rsidRDefault="00946F68" w:rsidP="00000820">
      <w:r>
        <w:separator/>
      </w:r>
    </w:p>
  </w:endnote>
  <w:endnote w:type="continuationSeparator" w:id="0">
    <w:p w:rsidR="00946F68" w:rsidRDefault="00946F68" w:rsidP="0000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68" w:rsidRDefault="00946F68" w:rsidP="00000820">
      <w:r>
        <w:separator/>
      </w:r>
    </w:p>
  </w:footnote>
  <w:footnote w:type="continuationSeparator" w:id="0">
    <w:p w:rsidR="00946F68" w:rsidRDefault="00946F68" w:rsidP="0000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F4"/>
    <w:rsid w:val="00000820"/>
    <w:rsid w:val="00121793"/>
    <w:rsid w:val="00946F68"/>
    <w:rsid w:val="00DE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5849DCE5-7E0A-4656-B476-3EEFD302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20"/>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08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0820"/>
    <w:rPr>
      <w:sz w:val="18"/>
      <w:szCs w:val="18"/>
    </w:rPr>
  </w:style>
  <w:style w:type="paragraph" w:styleId="a4">
    <w:name w:val="footer"/>
    <w:basedOn w:val="a"/>
    <w:link w:val="Char0"/>
    <w:uiPriority w:val="99"/>
    <w:unhideWhenUsed/>
    <w:rsid w:val="000008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0820"/>
    <w:rPr>
      <w:sz w:val="18"/>
      <w:szCs w:val="18"/>
    </w:rPr>
  </w:style>
  <w:style w:type="paragraph" w:styleId="a5">
    <w:name w:val="Plain Text"/>
    <w:basedOn w:val="a"/>
    <w:link w:val="Char1"/>
    <w:rsid w:val="00000820"/>
    <w:rPr>
      <w:rFonts w:ascii="宋体" w:eastAsia="宋体" w:hAnsi="Courier New" w:cs="Courier New"/>
      <w:sz w:val="21"/>
      <w:szCs w:val="21"/>
    </w:rPr>
  </w:style>
  <w:style w:type="character" w:customStyle="1" w:styleId="Char1">
    <w:name w:val="纯文本 Char"/>
    <w:basedOn w:val="a0"/>
    <w:link w:val="a5"/>
    <w:rsid w:val="0000082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lbj</dc:creator>
  <cp:keywords/>
  <dc:description/>
  <cp:lastModifiedBy>lbj</cp:lastModifiedBy>
  <cp:revision>2</cp:revision>
  <dcterms:created xsi:type="dcterms:W3CDTF">2018-11-19T04:06:00Z</dcterms:created>
  <dcterms:modified xsi:type="dcterms:W3CDTF">2018-11-19T04:07:00Z</dcterms:modified>
</cp:coreProperties>
</file>