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kern w:val="0"/>
          <w:sz w:val="24"/>
          <w:szCs w:val="24"/>
        </w:rPr>
        <w:t xml:space="preserve">　　2017年执业药师《药事管理与法规》考试大纲已经公布，新东方在线医学小编整理如下，希望广大考生及时复习备考和进行下载，具体内容如下：</w:t>
      </w:r>
    </w:p>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kern w:val="0"/>
          <w:sz w:val="24"/>
          <w:szCs w:val="24"/>
        </w:rPr>
        <w:t xml:space="preserve">　　药事管理与法规是执业药师职责和执业活动必须具备的知识与能力，考查目的重在评价、培养和指导执业药师法制意识、责任意识、自律意识、服务意识，从而确保准入人员具有合法执业能力、高尚职业道德，并能够更好地保护患者基本权利、尊重患者隐私。要求重点掌握药学实践中与合法 执业直接相关的法律法规规定，并能够理解国家医药卫生政策的具体要求。</w:t>
      </w:r>
    </w:p>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kern w:val="0"/>
          <w:sz w:val="24"/>
          <w:szCs w:val="24"/>
        </w:rPr>
        <w:t xml:space="preserve">　　药事管理与法规科目的考试内容以</w:t>
      </w:r>
      <w:proofErr w:type="gramStart"/>
      <w:r w:rsidRPr="00A54E36">
        <w:rPr>
          <w:rFonts w:ascii="宋体" w:eastAsia="宋体" w:hAnsi="宋体" w:cs="宋体"/>
          <w:kern w:val="0"/>
          <w:sz w:val="24"/>
          <w:szCs w:val="24"/>
        </w:rPr>
        <w:t>本考试</w:t>
      </w:r>
      <w:proofErr w:type="gramEnd"/>
      <w:r w:rsidRPr="00A54E36">
        <w:rPr>
          <w:rFonts w:ascii="宋体" w:eastAsia="宋体" w:hAnsi="宋体" w:cs="宋体"/>
          <w:kern w:val="0"/>
          <w:sz w:val="24"/>
          <w:szCs w:val="24"/>
        </w:rPr>
        <w:t>大纲为准。国家新修订的或新颁布的药事管理法规，需要纳入考试内容范围的，由国家食品药品监督管理总局执业药师管理机构在当年考试的6个月之前予以公布。</w:t>
      </w:r>
    </w:p>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kern w:val="0"/>
          <w:sz w:val="24"/>
          <w:szCs w:val="24"/>
        </w:rPr>
        <w:t xml:space="preserve">　　2017年执业药师《药事管理与法规》考试大纲</w:t>
      </w:r>
    </w:p>
    <w:tbl>
      <w:tblPr>
        <w:tblW w:w="8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4"/>
        <w:gridCol w:w="1935"/>
        <w:gridCol w:w="4241"/>
      </w:tblGrid>
      <w:tr w:rsidR="00A54E36" w:rsidRPr="00A54E36" w:rsidTr="00A54E36">
        <w:trPr>
          <w:trHeight w:val="270"/>
          <w:tblCellSpacing w:w="0" w:type="dxa"/>
        </w:trPr>
        <w:tc>
          <w:tcPr>
            <w:tcW w:w="201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小单元</w:t>
            </w:r>
          </w:p>
        </w:tc>
        <w:tc>
          <w:tcPr>
            <w:tcW w:w="18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细 目</w:t>
            </w:r>
          </w:p>
        </w:tc>
        <w:tc>
          <w:tcPr>
            <w:tcW w:w="411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center"/>
              <w:rPr>
                <w:rFonts w:ascii="宋体" w:eastAsia="宋体" w:hAnsi="宋体" w:cs="宋体"/>
                <w:kern w:val="0"/>
                <w:sz w:val="24"/>
                <w:szCs w:val="24"/>
              </w:rPr>
            </w:pPr>
            <w:r w:rsidRPr="00A54E36">
              <w:rPr>
                <w:rFonts w:ascii="宋体" w:eastAsia="宋体" w:hAnsi="宋体" w:cs="宋体" w:hint="eastAsia"/>
                <w:color w:val="000000"/>
                <w:kern w:val="0"/>
                <w:sz w:val="24"/>
                <w:szCs w:val="24"/>
              </w:rPr>
              <w:t>要 点</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(一）执业药师管理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1.执业药师资格制度</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(1）执业药师制度的内涵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(2）执业药师管理部门</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2.执业药师资格考试与注册管理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(1）执业药师资格考试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(2）执业药师注册管理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3.执业药师职责</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执业药师主要职责</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4.执业药师继续教育</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（1）继续教育的内容和形式要求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（2）继续教育学分管理</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(二）执业药师职业道德与服务规范</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1.执业药师职业道德</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我国执业药师职业道德准则的具体内容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2.执业药师药学服务规范</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我国执业药师药学服务规范的主要内容</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(三）药品与药品安全管理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1.药品和药品安全</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（1）药品的界定、质量特性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（2）药品安全的重要性</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2.药品安全管理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（1）药品安全风险的特点、分类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（2）药品安全风险管理的主要措施</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3.我国药品安全管理的目标任务</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（1）总体目标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（2）规划指标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（3）主要任务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（4）保障措施</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4.国家改革完善药品生产流通使用政策</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《关于进一步改革完善药品生产流通使用政策的若干意见》的主要内容</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（一）深化医药卫生体制改革</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1.基本原则和总体目标</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（1）基本原则</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（2）总体目标</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2.建立国家基本医疗卫生制度</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公共卫生服务体系、医疗服务体系、医疗保障体系、药品供应保障体系的基本</w:t>
            </w:r>
            <w:r w:rsidRPr="00A54E36">
              <w:rPr>
                <w:rFonts w:ascii="宋体" w:eastAsia="宋体" w:hAnsi="宋体" w:cs="宋体" w:hint="eastAsia"/>
                <w:color w:val="000000"/>
                <w:kern w:val="0"/>
                <w:sz w:val="24"/>
                <w:szCs w:val="24"/>
              </w:rPr>
              <w:lastRenderedPageBreak/>
              <w:t>内容</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3.完善保障医药卫生体系有效规范运转的体制机制</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完善体制机制的基本内容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4.药品供应保障体系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建立健全药品供应保障体系的主要要求和内容</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(二）国家基本药物制度</w:t>
            </w:r>
          </w:p>
        </w:tc>
        <w:tc>
          <w:tcPr>
            <w:tcW w:w="18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center"/>
              <w:rPr>
                <w:rFonts w:ascii="宋体" w:eastAsia="宋体" w:hAnsi="宋体" w:cs="宋体"/>
                <w:kern w:val="0"/>
                <w:sz w:val="24"/>
                <w:szCs w:val="24"/>
              </w:rPr>
            </w:pPr>
            <w:r w:rsidRPr="00A54E36">
              <w:rPr>
                <w:rFonts w:ascii="宋体" w:eastAsia="宋体" w:hAnsi="宋体" w:cs="宋体" w:hint="eastAsia"/>
                <w:color w:val="000000"/>
                <w:kern w:val="0"/>
                <w:sz w:val="24"/>
                <w:szCs w:val="24"/>
              </w:rPr>
              <w:t>1.国家基本药物制度的内涵</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（1）基本药物和国家基本药物制度的界定与主要内容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（2）实施基本药物制度的目标</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（3）基本药物管理部门及职能</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2.国家基本药物目录管理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（1）基本药物遴选原则和范围</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（2）国家基本药物目录调整依据和周期</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（3）国家基本药物目录构成</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3.基本药物质量监督管理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（1）基本药物质量监管机构及职能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（2）基本药物质量监管要求</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（3）药品追溯体系的规定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4.基本药物釆</w:t>
            </w:r>
            <w:proofErr w:type="gramStart"/>
            <w:r w:rsidRPr="00A54E36">
              <w:rPr>
                <w:rFonts w:ascii="宋体" w:eastAsia="宋体" w:hAnsi="宋体" w:cs="宋体" w:hint="eastAsia"/>
                <w:color w:val="000000"/>
                <w:kern w:val="0"/>
                <w:sz w:val="24"/>
                <w:szCs w:val="24"/>
              </w:rPr>
              <w:t>购管理</w:t>
            </w:r>
            <w:proofErr w:type="gramEnd"/>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（1）基本药物集中釆</w:t>
            </w:r>
            <w:proofErr w:type="gramStart"/>
            <w:r w:rsidRPr="00A54E36">
              <w:rPr>
                <w:rFonts w:ascii="宋体" w:eastAsia="宋体" w:hAnsi="宋体" w:cs="宋体" w:hint="eastAsia"/>
                <w:color w:val="000000"/>
                <w:kern w:val="0"/>
                <w:sz w:val="24"/>
                <w:szCs w:val="24"/>
              </w:rPr>
              <w:t>购总体</w:t>
            </w:r>
            <w:proofErr w:type="gramEnd"/>
            <w:r w:rsidRPr="00A54E36">
              <w:rPr>
                <w:rFonts w:ascii="宋体" w:eastAsia="宋体" w:hAnsi="宋体" w:cs="宋体" w:hint="eastAsia"/>
                <w:color w:val="000000"/>
                <w:kern w:val="0"/>
                <w:sz w:val="24"/>
                <w:szCs w:val="24"/>
              </w:rPr>
              <w:t xml:space="preserve">思路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（2）基本药物集中采购主要措施</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5.基本药物的报销与补偿</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（1）基本药物报销规定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（2）基本药物补偿规定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6.基本药物使用管理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基本药物使用主要要求</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(一）药品监督管理机构</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1.药品监督管理部门</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国家和地方药品监督管理部门与药品管理 相关的职责</w:t>
            </w:r>
          </w:p>
        </w:tc>
      </w:tr>
      <w:tr w:rsidR="00A54E36" w:rsidRPr="00A54E36" w:rsidTr="00A54E36">
        <w:trPr>
          <w:trHeight w:val="135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2.药品管理工作相关部门</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卫生计生部门、中医药管理部门、发展改革宏观调控部门、人力资源和社会保障部门、 工商行政管理部门、工业和信息化管理部 门、商务管理部门、海关、公安部门等与药品管理相关的职责</w:t>
            </w:r>
          </w:p>
        </w:tc>
      </w:tr>
      <w:tr w:rsidR="00A54E36" w:rsidRPr="00A54E36" w:rsidTr="00A54E36">
        <w:trPr>
          <w:trHeight w:val="1350"/>
          <w:tblCellSpacing w:w="0" w:type="dxa"/>
        </w:trPr>
        <w:tc>
          <w:tcPr>
            <w:tcW w:w="20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(二）药品监督管理技术支撑机构</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国家药品监督管理技术支撑机构的职责</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中国食品药品检定研究院、国家药典委员会、药品审评中心、食品药品审核查验中心、药品评价中心、国家中药品种保护审评委员会、行政事项受理服务和投诉举报中心、执业药师资格认证中心与执业药师执业相关的职责</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(三）药品管理立法</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1.法的基本知识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法的特征、法律渊源、法律效力、法律责任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2.药品管理法律体系和法律关系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（1）药品管理法律体系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（2）药品管理法律关系</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(四）药品监督管理行政法律制度</w:t>
            </w:r>
          </w:p>
        </w:tc>
        <w:tc>
          <w:tcPr>
            <w:tcW w:w="18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1.行政许可</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（1）设定和实施行政许可的原则和事项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（2）行政许可申请和受理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（3）撤销行政许可的情形</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2.行政强制</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（1）行政强制措施的种类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（2）行政强制执行的方式</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3.行政处罚</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行政处罚的决定及程序</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4.行政复议</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政复议的范围、申请和期限</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5.行政诉讼</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行政诉讼的受案范围、起诉和受理</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(一）药品研制与注册管理</w:t>
            </w:r>
          </w:p>
        </w:tc>
        <w:tc>
          <w:tcPr>
            <w:tcW w:w="18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1.药品研制与质量管理规范</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（1）药物临床试验的分期和目的</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（2）药物非临床</w:t>
            </w:r>
            <w:proofErr w:type="gramStart"/>
            <w:r w:rsidRPr="00A54E36">
              <w:rPr>
                <w:rFonts w:ascii="宋体" w:eastAsia="宋体" w:hAnsi="宋体" w:cs="宋体" w:hint="eastAsia"/>
                <w:color w:val="000000"/>
                <w:kern w:val="0"/>
                <w:sz w:val="24"/>
                <w:szCs w:val="24"/>
              </w:rPr>
              <w:t>研宄</w:t>
            </w:r>
            <w:proofErr w:type="gramEnd"/>
            <w:r w:rsidRPr="00A54E36">
              <w:rPr>
                <w:rFonts w:ascii="宋体" w:eastAsia="宋体" w:hAnsi="宋体" w:cs="宋体" w:hint="eastAsia"/>
                <w:color w:val="000000"/>
                <w:kern w:val="0"/>
                <w:sz w:val="24"/>
                <w:szCs w:val="24"/>
              </w:rPr>
              <w:t>质量管理规范和药物临床试验质量管理规范的基本要求</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2.药品注册管理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（1）药品医疗器械</w:t>
            </w:r>
            <w:proofErr w:type="gramStart"/>
            <w:r w:rsidRPr="00A54E36">
              <w:rPr>
                <w:rFonts w:ascii="宋体" w:eastAsia="宋体" w:hAnsi="宋体" w:cs="宋体" w:hint="eastAsia"/>
                <w:color w:val="000000"/>
                <w:kern w:val="0"/>
                <w:sz w:val="24"/>
                <w:szCs w:val="24"/>
              </w:rPr>
              <w:t>审评审批</w:t>
            </w:r>
            <w:proofErr w:type="gramEnd"/>
            <w:r w:rsidRPr="00A54E36">
              <w:rPr>
                <w:rFonts w:ascii="宋体" w:eastAsia="宋体" w:hAnsi="宋体" w:cs="宋体" w:hint="eastAsia"/>
                <w:color w:val="000000"/>
                <w:kern w:val="0"/>
                <w:sz w:val="24"/>
                <w:szCs w:val="24"/>
              </w:rPr>
              <w:t>改革内容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（2）药品注册和药品注册申请的界定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（3）药品注册管理机构</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（4）药品注册分类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（5）药品批准文件</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（6）新药监测期</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3.药品再评价</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药品再评价的管理</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(二）药品生产管理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1.药品生产许可</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（1）药品生产许可的申请和审批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（2）药品生产许可证管理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2.药品生产质量管理</w:t>
            </w:r>
            <w:proofErr w:type="gramStart"/>
            <w:r w:rsidRPr="00A54E36">
              <w:rPr>
                <w:rFonts w:ascii="宋体" w:eastAsia="宋体" w:hAnsi="宋体" w:cs="宋体" w:hint="eastAsia"/>
                <w:color w:val="000000"/>
                <w:kern w:val="0"/>
                <w:sz w:val="24"/>
                <w:szCs w:val="24"/>
              </w:rPr>
              <w:t>规</w:t>
            </w:r>
            <w:proofErr w:type="gramEnd"/>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（1）GMP的基本要求和实施</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（2）药品批次划分原则</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（3）GMP认证与检查的基本要求</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3.药品委托生产管理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（1）委托生产的界定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（2）委托生产品种限制</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4.药品召回管理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（1）药品召回和药品安全隐患的界定</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（2）药品生产、经营企业和使用单位有关药品召回的义务</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（3）主动召回和责令召回</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（4）药品召回的监督管理</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(一）药品经营管理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1.药品经营许可</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（1）药品经营（批发、零售）许可的申请和审批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（2）药品经营许可证的管理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2.药品经营质量管理规范</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（1）药品批发的质量管理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（2）药品零售的质量管理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（3）GSP认证与检查的基本内容和要求</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3.药品购销管理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（1）禁止无证经营、禁止销售假劣药和其他不得从事的经营活动</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（2）购销药品应遵守的规定和要求</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（3）购销人员的管理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（4）购销记录、销售凭证的管理</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4.互联网药品经营管理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（1）从事互联网药品信息服务的资格、申请与审批、监督管理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（2）互联网药品交易服务的类型 </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（3）从事互联网药品交易服务的主体资格、申请与审批、监督管理</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(二）药品使用管理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1.医疗机构药事管理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（1）医疗机构药事管理主要内容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（2）药事管理组织和药学部门</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2.药品釆购与库存管理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（1）药品釆</w:t>
            </w:r>
            <w:proofErr w:type="gramStart"/>
            <w:r w:rsidRPr="00A54E36">
              <w:rPr>
                <w:rFonts w:ascii="宋体" w:eastAsia="宋体" w:hAnsi="宋体" w:cs="宋体" w:hint="eastAsia"/>
                <w:color w:val="000000"/>
                <w:kern w:val="0"/>
                <w:sz w:val="24"/>
                <w:szCs w:val="24"/>
              </w:rPr>
              <w:t>购规定</w:t>
            </w:r>
            <w:proofErr w:type="gramEnd"/>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（2）药品进货检查验收制度和购进（验收）记录管理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（3）药品库存管理和保管、养护规定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3.处方与调配管理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（1）处方和处方管理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（2）处方开具、调剂和审核</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（3）处方点评制度</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（4）不得从事处方调剂工作的规定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（5）处方保存期限及销毁程序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（6）麻醉药品、精神药品专册登记的规定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（7）违反处方管理和调剂要求的法律责任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4.医疗机构制剂管理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（1）医疗机构制剂与许可证管理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（2）医疗机构自配制</w:t>
            </w:r>
            <w:proofErr w:type="gramStart"/>
            <w:r w:rsidRPr="00A54E36">
              <w:rPr>
                <w:rFonts w:ascii="宋体" w:eastAsia="宋体" w:hAnsi="宋体" w:cs="宋体" w:hint="eastAsia"/>
                <w:color w:val="000000"/>
                <w:kern w:val="0"/>
                <w:sz w:val="24"/>
                <w:szCs w:val="24"/>
              </w:rPr>
              <w:t>剂注册</w:t>
            </w:r>
            <w:proofErr w:type="gramEnd"/>
            <w:r w:rsidRPr="00A54E36">
              <w:rPr>
                <w:rFonts w:ascii="宋体" w:eastAsia="宋体" w:hAnsi="宋体" w:cs="宋体" w:hint="eastAsia"/>
                <w:color w:val="000000"/>
                <w:kern w:val="0"/>
                <w:sz w:val="24"/>
                <w:szCs w:val="24"/>
              </w:rPr>
              <w:t>和品种范围</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（3）医疗机构制剂注册批件及批准文号格式</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（4）医疗机构制剂的调剂使用</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5.药物临床应用管理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（1）合理用药的原则</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（2）药物临床应用管理的具体规定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（3）抗菌药物分级管理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（4）抗菌药物的购进、使用及定期评估</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（5）抗菌药物处方权、调剂资格授予和监督管理</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（6）抗菌药物临床应用监测、细菌耐药监测和合理使用</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（7）抗菌药物临床应用异常情况及处理</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(三）药品分类管理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1.药品分类管理制度的建立</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（1）药品分类管理的目的</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（2）执业药师、监管部门在分类管理中的职责</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2.非处方药和处方药分类管理的实施</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（1）非处方药、处方药、“双跨”药品的界定和依据</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（2）非处方药的分类和专有标识的管理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（3）非处方药的管理要求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（4）处方药的管理要求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（5）“双跨”药品的管理要求</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3.非处方药目录遴选和转换评价</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（1）非处方药目录及目录的遴选、审批和发布</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（2）处方药与非处方药的转换评价</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4.处方药与非处方药的流通管理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（1）生产、批发企业销售处方药与非处方药的要求</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（2）零售药店销售处方药与非处方药的要求</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（3）零售药店不得经营的药品种类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（4）零售药店必须凭处方销售的药品种类</w:t>
            </w:r>
          </w:p>
        </w:tc>
      </w:tr>
      <w:tr w:rsidR="00A54E36" w:rsidRPr="00A54E36" w:rsidTr="00A54E36">
        <w:trPr>
          <w:trHeight w:val="270"/>
          <w:tblCellSpacing w:w="0" w:type="dxa"/>
        </w:trPr>
        <w:tc>
          <w:tcPr>
            <w:tcW w:w="2010" w:type="dxa"/>
            <w:vMerge w:val="restart"/>
            <w:tcBorders>
              <w:top w:val="nil"/>
              <w:left w:val="nil"/>
              <w:bottom w:val="nil"/>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(四）医疗保障用药管理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1.基本医疗保险体系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（1）我国基本医疗保险体系的构成</w:t>
            </w:r>
          </w:p>
        </w:tc>
      </w:tr>
      <w:tr w:rsidR="00A54E36" w:rsidRPr="00A54E36" w:rsidTr="00A54E36">
        <w:trPr>
          <w:trHeight w:val="810"/>
          <w:tblCellSpacing w:w="0" w:type="dxa"/>
        </w:trPr>
        <w:tc>
          <w:tcPr>
            <w:tcW w:w="0" w:type="auto"/>
            <w:vMerge/>
            <w:tcBorders>
              <w:top w:val="nil"/>
              <w:left w:val="nil"/>
              <w:bottom w:val="nil"/>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（2）城镇职工基本医疗保险的覆盖范围、统筹层次和缴费办法、统筹基金和个人账户、定点管理</w:t>
            </w:r>
          </w:p>
        </w:tc>
      </w:tr>
      <w:tr w:rsidR="00A54E36" w:rsidRPr="00A54E36" w:rsidTr="00A54E36">
        <w:trPr>
          <w:trHeight w:val="810"/>
          <w:tblCellSpacing w:w="0" w:type="dxa"/>
        </w:trPr>
        <w:tc>
          <w:tcPr>
            <w:tcW w:w="0" w:type="auto"/>
            <w:vMerge/>
            <w:tcBorders>
              <w:top w:val="nil"/>
              <w:left w:val="nil"/>
              <w:bottom w:val="nil"/>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（3）城镇居民基本医疗保险的参保范围、筹资水平、缴费和补助、费用支付、定点管理</w:t>
            </w:r>
          </w:p>
        </w:tc>
      </w:tr>
      <w:tr w:rsidR="00A54E36" w:rsidRPr="00A54E36" w:rsidTr="00A54E36">
        <w:trPr>
          <w:trHeight w:val="540"/>
          <w:tblCellSpacing w:w="0" w:type="dxa"/>
        </w:trPr>
        <w:tc>
          <w:tcPr>
            <w:tcW w:w="0" w:type="auto"/>
            <w:vMerge/>
            <w:tcBorders>
              <w:top w:val="nil"/>
              <w:left w:val="nil"/>
              <w:bottom w:val="nil"/>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（4）新型农村合作医疗的覆盖范围和统筹层次、筹资标准</w:t>
            </w:r>
          </w:p>
        </w:tc>
      </w:tr>
      <w:tr w:rsidR="00A54E36" w:rsidRPr="00A54E36" w:rsidTr="00A54E36">
        <w:trPr>
          <w:trHeight w:val="270"/>
          <w:tblCellSpacing w:w="0" w:type="dxa"/>
        </w:trPr>
        <w:tc>
          <w:tcPr>
            <w:tcW w:w="0" w:type="auto"/>
            <w:vMerge/>
            <w:tcBorders>
              <w:top w:val="nil"/>
              <w:left w:val="nil"/>
              <w:bottom w:val="nil"/>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2.基本医疗保险药品目录</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w:t>
            </w:r>
            <w:proofErr w:type="gramStart"/>
            <w:r w:rsidRPr="00A54E36">
              <w:rPr>
                <w:rFonts w:ascii="宋体" w:eastAsia="宋体" w:hAnsi="宋体" w:cs="宋体" w:hint="eastAsia"/>
                <w:color w:val="000000"/>
                <w:kern w:val="0"/>
                <w:sz w:val="24"/>
                <w:szCs w:val="24"/>
              </w:rPr>
              <w:t>医</w:t>
            </w:r>
            <w:proofErr w:type="gramEnd"/>
            <w:r w:rsidRPr="00A54E36">
              <w:rPr>
                <w:rFonts w:ascii="宋体" w:eastAsia="宋体" w:hAnsi="宋体" w:cs="宋体" w:hint="eastAsia"/>
                <w:color w:val="000000"/>
                <w:kern w:val="0"/>
                <w:sz w:val="24"/>
                <w:szCs w:val="24"/>
              </w:rPr>
              <w:t>保药品目录的确定原则和条件</w:t>
            </w:r>
          </w:p>
        </w:tc>
      </w:tr>
      <w:tr w:rsidR="00A54E36" w:rsidRPr="00A54E36" w:rsidTr="00A54E36">
        <w:trPr>
          <w:trHeight w:val="540"/>
          <w:tblCellSpacing w:w="0" w:type="dxa"/>
        </w:trPr>
        <w:tc>
          <w:tcPr>
            <w:tcW w:w="0" w:type="auto"/>
            <w:vMerge/>
            <w:tcBorders>
              <w:top w:val="nil"/>
              <w:left w:val="nil"/>
              <w:bottom w:val="nil"/>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（2）不得纳入基本医疗保险用药范围的药品</w:t>
            </w:r>
          </w:p>
        </w:tc>
      </w:tr>
      <w:tr w:rsidR="00A54E36" w:rsidRPr="00A54E36" w:rsidTr="00A54E36">
        <w:trPr>
          <w:trHeight w:val="270"/>
          <w:tblCellSpacing w:w="0" w:type="dxa"/>
        </w:trPr>
        <w:tc>
          <w:tcPr>
            <w:tcW w:w="0" w:type="auto"/>
            <w:vMerge/>
            <w:tcBorders>
              <w:top w:val="nil"/>
              <w:left w:val="nil"/>
              <w:bottom w:val="nil"/>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w:t>
            </w:r>
            <w:proofErr w:type="gramStart"/>
            <w:r w:rsidRPr="00A54E36">
              <w:rPr>
                <w:rFonts w:ascii="宋体" w:eastAsia="宋体" w:hAnsi="宋体" w:cs="宋体" w:hint="eastAsia"/>
                <w:color w:val="000000"/>
                <w:kern w:val="0"/>
                <w:sz w:val="24"/>
                <w:szCs w:val="24"/>
              </w:rPr>
              <w:t>医</w:t>
            </w:r>
            <w:proofErr w:type="gramEnd"/>
            <w:r w:rsidRPr="00A54E36">
              <w:rPr>
                <w:rFonts w:ascii="宋体" w:eastAsia="宋体" w:hAnsi="宋体" w:cs="宋体" w:hint="eastAsia"/>
                <w:color w:val="000000"/>
                <w:kern w:val="0"/>
                <w:sz w:val="24"/>
                <w:szCs w:val="24"/>
              </w:rPr>
              <w:t>保药品目录的分类、制定与调整</w:t>
            </w:r>
          </w:p>
        </w:tc>
      </w:tr>
      <w:tr w:rsidR="00A54E36" w:rsidRPr="00A54E36" w:rsidTr="00A54E36">
        <w:trPr>
          <w:trHeight w:val="270"/>
          <w:tblCellSpacing w:w="0" w:type="dxa"/>
        </w:trPr>
        <w:tc>
          <w:tcPr>
            <w:tcW w:w="0" w:type="auto"/>
            <w:vMerge/>
            <w:tcBorders>
              <w:top w:val="nil"/>
              <w:left w:val="nil"/>
              <w:bottom w:val="nil"/>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w:t>
            </w:r>
            <w:proofErr w:type="gramStart"/>
            <w:r w:rsidRPr="00A54E36">
              <w:rPr>
                <w:rFonts w:ascii="宋体" w:eastAsia="宋体" w:hAnsi="宋体" w:cs="宋体" w:hint="eastAsia"/>
                <w:color w:val="000000"/>
                <w:kern w:val="0"/>
                <w:sz w:val="24"/>
                <w:szCs w:val="24"/>
              </w:rPr>
              <w:t>医</w:t>
            </w:r>
            <w:proofErr w:type="gramEnd"/>
            <w:r w:rsidRPr="00A54E36">
              <w:rPr>
                <w:rFonts w:ascii="宋体" w:eastAsia="宋体" w:hAnsi="宋体" w:cs="宋体" w:hint="eastAsia"/>
                <w:color w:val="000000"/>
                <w:kern w:val="0"/>
                <w:sz w:val="24"/>
                <w:szCs w:val="24"/>
              </w:rPr>
              <w:t>保药品使用的费用支付原则</w:t>
            </w:r>
          </w:p>
        </w:tc>
      </w:tr>
      <w:tr w:rsidR="00A54E36" w:rsidRPr="00A54E36" w:rsidTr="00A54E36">
        <w:trPr>
          <w:trHeight w:val="540"/>
          <w:tblCellSpacing w:w="0" w:type="dxa"/>
        </w:trPr>
        <w:tc>
          <w:tcPr>
            <w:tcW w:w="0" w:type="auto"/>
            <w:vMerge/>
            <w:tcBorders>
              <w:top w:val="nil"/>
              <w:left w:val="nil"/>
              <w:bottom w:val="nil"/>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（5）对定点医疗机构和零售药店使用</w:t>
            </w:r>
            <w:proofErr w:type="gramStart"/>
            <w:r w:rsidRPr="00A54E36">
              <w:rPr>
                <w:rFonts w:ascii="宋体" w:eastAsia="宋体" w:hAnsi="宋体" w:cs="宋体" w:hint="eastAsia"/>
                <w:color w:val="000000"/>
                <w:kern w:val="0"/>
                <w:sz w:val="24"/>
                <w:szCs w:val="24"/>
              </w:rPr>
              <w:t>医</w:t>
            </w:r>
            <w:proofErr w:type="gramEnd"/>
            <w:r w:rsidRPr="00A54E36">
              <w:rPr>
                <w:rFonts w:ascii="宋体" w:eastAsia="宋体" w:hAnsi="宋体" w:cs="宋体" w:hint="eastAsia"/>
                <w:color w:val="000000"/>
                <w:kern w:val="0"/>
                <w:sz w:val="24"/>
                <w:szCs w:val="24"/>
              </w:rPr>
              <w:t>保药品目录的管理要求</w:t>
            </w:r>
          </w:p>
        </w:tc>
      </w:tr>
      <w:tr w:rsidR="00A54E36" w:rsidRPr="00A54E36" w:rsidTr="00A54E36">
        <w:trPr>
          <w:trHeight w:val="1170"/>
          <w:tblCellSpacing w:w="0" w:type="dxa"/>
        </w:trPr>
        <w:tc>
          <w:tcPr>
            <w:tcW w:w="0" w:type="auto"/>
            <w:vMerge/>
            <w:tcBorders>
              <w:top w:val="nil"/>
              <w:left w:val="nil"/>
              <w:bottom w:val="nil"/>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3.基本医疗保险定点医药机构协议管理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医药机构协议管理的具体政策和要求</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(五）药品不良反应报告与监测管理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1.药品不良反应的界定和分类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（1）药品不良反应及相关术语的界定和区分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（2）药品不良反应的分类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2.药品不良反应报告和处置</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（1）药品不良反应报告主体、报告范围、监督主体</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w:t>
            </w:r>
            <w:proofErr w:type="gramStart"/>
            <w:r w:rsidRPr="00A54E36">
              <w:rPr>
                <w:rFonts w:ascii="宋体" w:eastAsia="宋体" w:hAnsi="宋体" w:cs="宋体" w:hint="eastAsia"/>
                <w:color w:val="000000"/>
                <w:kern w:val="0"/>
                <w:sz w:val="24"/>
                <w:szCs w:val="24"/>
              </w:rPr>
              <w:t>个</w:t>
            </w:r>
            <w:proofErr w:type="gramEnd"/>
            <w:r w:rsidRPr="00A54E36">
              <w:rPr>
                <w:rFonts w:ascii="宋体" w:eastAsia="宋体" w:hAnsi="宋体" w:cs="宋体" w:hint="eastAsia"/>
                <w:color w:val="000000"/>
                <w:kern w:val="0"/>
                <w:sz w:val="24"/>
                <w:szCs w:val="24"/>
              </w:rPr>
              <w:t>例药品不良反应的报告和处置</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（3）药品群体不良事件的报告和处置</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（4）境外发生的严重药品不良反应的报告和处置</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（5）定期安全性更新报告</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3.药品重点监测</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药品重点监测的范围和要求</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4.药品不良反应评价与控制</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（1）药品生产企业对药品不良反应的评价与控制</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（2）药品不良反应监测机构对药品不良反应的评价与控制</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(一）中药与中药创新发展</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1.中药的分类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中药材、中药饮片、中成药</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2.中医药立法</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（1）符合中医药特点的管理制度和发展方针</w:t>
            </w:r>
          </w:p>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（2）《中医药法》对中药保护、发展和中医药传承的规定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3.中药创新体系建设</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中医药创新发展规划纲要的主要内容</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（二）中药材管理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1.中药材的生产、经营和使用规定</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（1）中药材种植养殖管理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（2）中药材产地初加工管理</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（3）中药材自种、自釆、自用的管理要求</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2.中药材生产质量管理 规范</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GAP的基本要求和实施</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3.专业市场管理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（1）进入中药材专业市场经营中药材者应具备的条件</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（2）中药材专业市场管理的措施</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4.进口药材规定</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（1）进口药材的申请与审批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（2）进口药材批件</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5.野生药材资源保护</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（1）国家重点保护野生药材物种的分级</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（2）国家重点保护野生药材釆</w:t>
            </w:r>
            <w:proofErr w:type="gramStart"/>
            <w:r w:rsidRPr="00A54E36">
              <w:rPr>
                <w:rFonts w:ascii="宋体" w:eastAsia="宋体" w:hAnsi="宋体" w:cs="宋体" w:hint="eastAsia"/>
                <w:color w:val="000000"/>
                <w:kern w:val="0"/>
                <w:sz w:val="24"/>
                <w:szCs w:val="24"/>
              </w:rPr>
              <w:t>猎管理</w:t>
            </w:r>
            <w:proofErr w:type="gramEnd"/>
            <w:r w:rsidRPr="00A54E36">
              <w:rPr>
                <w:rFonts w:ascii="宋体" w:eastAsia="宋体" w:hAnsi="宋体" w:cs="宋体" w:hint="eastAsia"/>
                <w:color w:val="000000"/>
                <w:kern w:val="0"/>
                <w:sz w:val="24"/>
                <w:szCs w:val="24"/>
              </w:rPr>
              <w:t xml:space="preserve">要求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（3）国家重点保护野生药材的出口管理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（4）国家重点保护的野生药材名录</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(三）中药饮片管理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1.生产、经营管理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（1）中药饮片生产经营行为监管</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（2）毒性中药饮片定点生产和经营管理的规定</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2.医疗机构中药饮片的管理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中药饮片管理要求</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(四）中成药管理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1.中药品种保护</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（1）中药品种保护的目的和意义</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（2）《中药品种保护条例》的适用范围</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（3）中药保护品种的范围和等级划分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（4）中药保护品种的保护措施</w:t>
            </w:r>
          </w:p>
        </w:tc>
      </w:tr>
      <w:tr w:rsidR="00A54E36" w:rsidRPr="00A54E36" w:rsidTr="00A54E36">
        <w:trPr>
          <w:trHeight w:val="270"/>
          <w:tblCellSpacing w:w="0" w:type="dxa"/>
        </w:trPr>
        <w:tc>
          <w:tcPr>
            <w:tcW w:w="2010" w:type="dxa"/>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2.医疗机构中药制剂管理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（1）中药制剂配制和使用要求</w:t>
            </w:r>
          </w:p>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（2）医疗机构中药制剂委托生产要求</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(一）麻醉药品、精神药品的管理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1.麻醉药品、精神药品的界定和管理部门</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（1）麻醉药品和精神药品的界定和专有标志</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（2）麻醉药品和精神药品的管理部门、职责</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2.麻醉药品和精神药品目录</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我国生产和使用的麻醉药品和精神药品品种</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3.麻醉药品和精神药品生产</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（1）生产总量控制</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（2）定点生产和渠道限制</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4.麻醉药品和精神药品经营</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（1）定点经营企业必备条件</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（2）定点经营资格审批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（3）购销和零售管理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5.麻醉药品和精神药品使用</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（1）使用审批和印鉴卡管理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（2）处方资格及处方管理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（3）借用和配制规定</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6.麻醉药品和精神药品储存与运输</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（1）麻醉药品与第一类精神药品的储存</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（2）第二类精神药品的储存</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（3）运输和邮寄管理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（4）企业间药品运输信息管理要求</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(二）医疗用毒性药品的管理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1.医疗用毒性药品的界定和品种</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（1）医疗用毒性药品界定和专用标志</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（2）医疗用毒性药品的品种</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2.生产、经营管理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（1）生产、经营资格管理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（2）毒性药品的生产管理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（3）储存与运输要求</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3.使用管理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（1）医疗机构、零售药店供应和调配规定</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（2）科研和教学单位所需毒性药品的调配 规定</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(三）药品类易制毒化学品管理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1.药品类易制毒化学品的界定与分类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（1）药品类易制毒化学品界定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（2）药品类易制毒化学品品种与分类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2.药品类易制毒化学品的流通与使用管理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药品类易制毒化学品的购销要求</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(四）含特殊药品的复方制剂管理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1.含麻醉药品、精神药品复方制剂的管理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（1）含特殊药品复方制剂的品种范围</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（2）含特殊药品复方制剂的经营管理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2.含麻黄碱类复方制剂的管理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（1）经营行为管理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（2）销售管理</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(五）兴奋剂的管理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1.兴奋剂的界定和分类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（1）兴奋剂的界定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（2）兴奋剂目录和分类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2.兴奋剂销售使用管理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（1）含兴奋剂药品标签和说明书管理</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（2）蛋白同化制剂、肽类激素的销售及使用管理</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(六）疫苗的管理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1.疫苗的流通管理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（1）界定和分类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（2）疫苗流通方式改革和采购、供应、配送要求</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（3）疫苗全程追溯制度和全程冷链储运管理制度</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2.疫苗的监督管理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发现假劣或者质量可疑的疫苗的处理措施</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(一）药品标准管理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药品标准与国家药品标准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（1）药品标准分类和效力</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（2）国家药品标准界定、类别</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（3）药品标准的制定原则</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(二）药品说明书和标签管理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1.药品说明书和标签基本要求</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（1）药品说明书和标签的界定和作用</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（2）药品说明书、标签印制和文字表述要求</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（3）药品名称和注册商标的标注和使用要求</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（4）外用药品的标识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2.药品说明书管理规定</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（1）说明书的编写、修改要求</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（2）药品说明书的编写要点</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（3）药品说明书格式和书写要求的基本内容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3.药品标签管理</w:t>
            </w:r>
            <w:r w:rsidRPr="00A54E36">
              <w:rPr>
                <w:rFonts w:ascii="宋体" w:eastAsia="宋体" w:hAnsi="宋体" w:cs="宋体" w:hint="eastAsia"/>
                <w:color w:val="000000"/>
                <w:kern w:val="0"/>
                <w:sz w:val="24"/>
                <w:szCs w:val="24"/>
              </w:rPr>
              <w:lastRenderedPageBreak/>
              <w:t>规定</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lastRenderedPageBreak/>
              <w:t>（1）药品标签的分类和标示的内容</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（2）同品种药品标签的规定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（3）药品标签上药品有效期的规定</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（三）药品质量监督检验和药品质量公告</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1.药品质量监督检验和检验机构</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（1）药品质量监督检验的界定与性质</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（2）药品质量监督检验机构</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2.药品质量监督检验的类型</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抽查检验、注册检验、指定检验和复验</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3.药品质量公告</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（1）药品质量公告界定与作用</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（2）发布权限和发布内容</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(一）药品广告管理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1.药品广告的审批</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（1）药品广告的界定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（2）药品广告的申请、审查与发布</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2.药品广告的内容</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药品广告内容的要求</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3.药品广告的检查</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药品广告检查内容和方式</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违反药品广告的法律责任</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（二）反不正当竞争法</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不正当竞争行为</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（1）反不正当竞争的界定</w:t>
            </w:r>
          </w:p>
        </w:tc>
      </w:tr>
      <w:tr w:rsidR="00A54E36" w:rsidRPr="00A54E36" w:rsidTr="00A54E36">
        <w:trPr>
          <w:trHeight w:val="108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（2）混淆行为、限制竞争行为、商业贿赂行为、虚假宣传行为、侵犯商业秘密、低价倾销行为、不正当有奖销售、诋毁商誉行为的认定</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（三）消费者权益保护</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1.法律适用</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消费者的界定和消费者权益保护法的适用范围</w:t>
            </w:r>
          </w:p>
        </w:tc>
      </w:tr>
      <w:tr w:rsidR="00A54E36" w:rsidRPr="00A54E36" w:rsidTr="00A54E36">
        <w:trPr>
          <w:trHeight w:val="81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2.消费者的权益</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安全保障权、真情知悉权、自主选择权、公平交易权、获取赔偿权、结社权、知识获取权、受尊重权、监督批评权</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3.经营者的义务</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经营者应履行的义务</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4.消费者权益的保护</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消费者权益保护的措施</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5.争议的解决</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（1）争议解决的途径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（2）争议解决的特别规则</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(一）药品安全法律责任与特征</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药品安全法律责任界定和种类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（1）药品安全法律责任的界定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（2）药品安全法律责任的种类</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（二）生产、销售假药、劣药的法律责任</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1.生产、销售假药的法律责任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（1）假药的认定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（2）生产、销售假药的行政责任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（3）生产、销售假药的刑事责任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2.生产、销售劣药的法律责任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（1）劣药的认定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（2）生产、销售劣药的行政责任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（3）生产、销售劣药的刑事责任</w:t>
            </w:r>
          </w:p>
        </w:tc>
      </w:tr>
      <w:tr w:rsidR="00A54E36" w:rsidRPr="00A54E36" w:rsidTr="00A54E36">
        <w:trPr>
          <w:trHeight w:val="54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（三）违反药品监督管理规定的法律责任</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1.无证生产、经营相关的法律责任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（1）无证生产、经营药品的法律责任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（2）从无证生产、经营企业购入药品</w:t>
            </w:r>
            <w:r w:rsidRPr="00A54E36">
              <w:rPr>
                <w:rFonts w:ascii="宋体" w:eastAsia="宋体" w:hAnsi="宋体" w:cs="宋体" w:hint="eastAsia"/>
                <w:color w:val="000000"/>
                <w:kern w:val="0"/>
                <w:sz w:val="24"/>
                <w:szCs w:val="24"/>
              </w:rPr>
              <w:lastRenderedPageBreak/>
              <w:t>的法律责任</w:t>
            </w:r>
          </w:p>
        </w:tc>
      </w:tr>
      <w:tr w:rsidR="00A54E36" w:rsidRPr="00A54E36" w:rsidTr="00A54E36">
        <w:trPr>
          <w:trHeight w:val="81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2.违反药品质量管理规范的法律责任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未按照规定实施《药品生产质量管理规范》、《药品经营质量管理规范》的法律责</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3.许可证、批准证明文件相关的法律责任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（1）伪造、变造、买卖、出租、出借许可证或者药品批准证明文件的法律责任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（2）骗取许可证或批准证明文件的法律责任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4.药品商业贿赂行为的法律责任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（1）药品购销活动中暗中给予、收受回扣或者其他利益的法律责任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（2）药品购销活动中收受财物或者其他利益的法律责任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5.违反药品不良反应报告和监测规定的法律责任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药品生产、经营和使用单位违反药品不良反应报告和监测规定的法律责任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6.违反药品召回管理规定的法律责任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药品生产、经营和使用单位不履行与召回相关义务的法律责任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7.其他违反药品监督管理规定行为的法律责任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（1）违反进口药品登记备案管理制度的法律责任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（2）医疗机构向市场销售制剂的法律责任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 药品经营违反购销记录要求、药品销售行为规定的法律责任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（4）违反药品标识管理规定的法律责任</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(四）违反特殊管理的药品管理规定的法律责任</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1.违反麻醉药品和精神药品管理规定的法律责任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（1）定点生产企业的法律责任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（2）经营企业的法律责任 </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（3）医疗机构的法律责任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（4）执业医师的法律责任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（5）处方调配人、核对人的法律责任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（6）药品监管部门和卫生主管部门的法律责任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2.违反药品类易制毒化学品管理规定的法律责任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（1）走私、非法买卖麻黄碱类复方制剂等行为的法律责任 </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（2）违反药品类易制毒化学品管理规定的法律责任</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3.违反毒性药品管理规定的法律责任</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擅自生产、收购、经营毒性药品的法律责任</w:t>
            </w:r>
          </w:p>
        </w:tc>
      </w:tr>
      <w:tr w:rsidR="00A54E36" w:rsidRPr="00A54E36" w:rsidTr="00A54E36">
        <w:trPr>
          <w:trHeight w:val="1725"/>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lastRenderedPageBreak/>
              <w:t>（五）违反中医药法相关规定的法律责任</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1.违反举办中医诊所、炮制中药饮片、委托配制中药制剂备案管理规定的法律责任</w:t>
            </w:r>
          </w:p>
        </w:tc>
        <w:tc>
          <w:tcPr>
            <w:tcW w:w="4110" w:type="dxa"/>
            <w:tcBorders>
              <w:top w:val="nil"/>
              <w:left w:val="nil"/>
              <w:bottom w:val="nil"/>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（1）应备案而未备案，或者备案时提供虚假材料的法律责任</w:t>
            </w:r>
          </w:p>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（2）应用传统工艺配制中药制剂未依照规定备案或未按照备案材料载明的要求配制中药制剂的处罚</w:t>
            </w:r>
          </w:p>
        </w:tc>
      </w:tr>
      <w:tr w:rsidR="00A54E36" w:rsidRPr="00A54E36" w:rsidTr="00A54E36">
        <w:trPr>
          <w:trHeight w:val="45"/>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line="45" w:lineRule="atLeast"/>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2.中药材种植过程中使用剧毒、高毒农药的法律责任</w:t>
            </w: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jc w:val="left"/>
              <w:rPr>
                <w:rFonts w:ascii="宋体" w:eastAsia="宋体" w:hAnsi="宋体" w:cs="宋体"/>
                <w:kern w:val="0"/>
                <w:sz w:val="4"/>
                <w:szCs w:val="24"/>
              </w:rPr>
            </w:pPr>
          </w:p>
        </w:tc>
      </w:tr>
      <w:tr w:rsidR="00A54E36" w:rsidRPr="00A54E36" w:rsidTr="00A54E36">
        <w:trPr>
          <w:trHeight w:val="225"/>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line="225" w:lineRule="atLeast"/>
              <w:jc w:val="left"/>
              <w:rPr>
                <w:rFonts w:ascii="宋体" w:eastAsia="宋体" w:hAnsi="宋体" w:cs="宋体"/>
                <w:kern w:val="0"/>
                <w:sz w:val="24"/>
                <w:szCs w:val="24"/>
              </w:rPr>
            </w:pPr>
            <w:r w:rsidRPr="00A54E36">
              <w:rPr>
                <w:rFonts w:ascii="宋体" w:eastAsia="宋体" w:hAnsi="宋体" w:cs="宋体" w:hint="eastAsia"/>
                <w:color w:val="FF0000"/>
                <w:kern w:val="0"/>
                <w:sz w:val="24"/>
                <w:szCs w:val="24"/>
              </w:rPr>
              <w:t>违法使用剧毒、高毒农药的法律责任</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(一）医疗器械管理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1.医疗器械管理的基本要求</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（1）医疗器械的界定</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（2）医疗器械的分类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（3）产品注册与备案管理</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（4）医疗器械注册证格式与备案凭证格式</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（5）医疗器械说明书和标签管理</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2.医疗器械经营与使用管理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（1）医疗器械经营分类管理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（2）医疗器械经营许可证管理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（3）经营质量管理规范的基本要求</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（4）医疗器械使用管理</w:t>
            </w:r>
          </w:p>
        </w:tc>
      </w:tr>
      <w:tr w:rsidR="00A54E36" w:rsidRPr="00A54E36" w:rsidTr="00A54E36">
        <w:trPr>
          <w:trHeight w:val="54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3.医疗器械不良事件的处理与问题产品召回</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（1）医疗器械不良事件监测</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（2）医疗器械再评价和结果处理</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 医疗器械召回管理</w:t>
            </w:r>
          </w:p>
        </w:tc>
      </w:tr>
      <w:tr w:rsidR="00A54E36" w:rsidRPr="00A54E36" w:rsidTr="00A54E36">
        <w:trPr>
          <w:trHeight w:val="270"/>
          <w:tblCellSpacing w:w="0" w:type="dxa"/>
        </w:trPr>
        <w:tc>
          <w:tcPr>
            <w:tcW w:w="2010" w:type="dxa"/>
            <w:vMerge w:val="restart"/>
            <w:tcBorders>
              <w:top w:val="nil"/>
              <w:left w:val="nil"/>
              <w:bottom w:val="nil"/>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(二）保健食品、特殊医学用途配方食品和婴幼儿配方食品的管理</w:t>
            </w:r>
          </w:p>
        </w:tc>
        <w:tc>
          <w:tcPr>
            <w:tcW w:w="1875" w:type="dxa"/>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1.保健食品管理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 xml:space="preserve">（1）保健食品的界定 </w:t>
            </w:r>
          </w:p>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（2）保健食品的特征</w:t>
            </w:r>
          </w:p>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（3）保健食品注册与备案管理</w:t>
            </w:r>
          </w:p>
        </w:tc>
      </w:tr>
      <w:tr w:rsidR="00A54E36" w:rsidRPr="00A54E36" w:rsidTr="00A54E36">
        <w:trPr>
          <w:trHeight w:val="615"/>
          <w:tblCellSpacing w:w="0" w:type="dxa"/>
        </w:trPr>
        <w:tc>
          <w:tcPr>
            <w:tcW w:w="0" w:type="auto"/>
            <w:vMerge/>
            <w:tcBorders>
              <w:top w:val="nil"/>
              <w:left w:val="nil"/>
              <w:bottom w:val="nil"/>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18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2.特殊医学用途配方食品和婴幼儿配方食品的管理</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特殊医学用途配方食品和婴幼儿配方食品的管理的基本要求</w:t>
            </w:r>
          </w:p>
        </w:tc>
      </w:tr>
      <w:tr w:rsidR="00A54E36" w:rsidRPr="00A54E36" w:rsidTr="00A54E36">
        <w:trPr>
          <w:trHeight w:val="270"/>
          <w:tblCellSpacing w:w="0" w:type="dxa"/>
        </w:trPr>
        <w:tc>
          <w:tcPr>
            <w:tcW w:w="2010"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（三）化妆品管理</w:t>
            </w:r>
          </w:p>
        </w:tc>
        <w:tc>
          <w:tcPr>
            <w:tcW w:w="1875" w:type="dxa"/>
            <w:vMerge w:val="restart"/>
            <w:tcBorders>
              <w:top w:val="nil"/>
              <w:left w:val="nil"/>
              <w:bottom w:val="single" w:sz="6" w:space="0" w:color="000000"/>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化妆品管理的基本要求</w:t>
            </w: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（1）化妆品的界定和分类</w:t>
            </w:r>
          </w:p>
        </w:tc>
      </w:tr>
      <w:tr w:rsidR="00A54E36" w:rsidRPr="00A54E36" w:rsidTr="00A54E36">
        <w:trPr>
          <w:trHeight w:val="270"/>
          <w:tblCellSpacing w:w="0" w:type="dxa"/>
        </w:trPr>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auto"/>
            </w:tcBorders>
            <w:vAlign w:val="center"/>
            <w:hideMark/>
          </w:tcPr>
          <w:p w:rsidR="00A54E36" w:rsidRPr="00A54E36" w:rsidRDefault="00A54E36" w:rsidP="00A54E36">
            <w:pPr>
              <w:widowControl/>
              <w:jc w:val="left"/>
              <w:rPr>
                <w:rFonts w:ascii="宋体" w:eastAsia="宋体" w:hAnsi="宋体" w:cs="宋体"/>
                <w:kern w:val="0"/>
                <w:sz w:val="24"/>
                <w:szCs w:val="24"/>
              </w:rPr>
            </w:pPr>
          </w:p>
        </w:tc>
        <w:tc>
          <w:tcPr>
            <w:tcW w:w="41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r w:rsidRPr="00A54E36">
              <w:rPr>
                <w:rFonts w:ascii="宋体" w:eastAsia="宋体" w:hAnsi="宋体" w:cs="宋体" w:hint="eastAsia"/>
                <w:color w:val="000000"/>
                <w:kern w:val="0"/>
                <w:sz w:val="24"/>
                <w:szCs w:val="24"/>
              </w:rPr>
              <w:t>（2）化妆品生产许可证和批准文</w:t>
            </w:r>
            <w:proofErr w:type="gramStart"/>
            <w:r w:rsidRPr="00A54E36">
              <w:rPr>
                <w:rFonts w:ascii="宋体" w:eastAsia="宋体" w:hAnsi="宋体" w:cs="宋体" w:hint="eastAsia"/>
                <w:color w:val="000000"/>
                <w:kern w:val="0"/>
                <w:sz w:val="24"/>
                <w:szCs w:val="24"/>
              </w:rPr>
              <w:t>号管理</w:t>
            </w:r>
            <w:proofErr w:type="gramEnd"/>
          </w:p>
        </w:tc>
      </w:tr>
    </w:tbl>
    <w:p w:rsidR="00A54E36" w:rsidRPr="00A54E36" w:rsidRDefault="00A54E36" w:rsidP="00A54E36">
      <w:pPr>
        <w:widowControl/>
        <w:spacing w:before="100" w:beforeAutospacing="1" w:after="100" w:afterAutospacing="1"/>
        <w:jc w:val="left"/>
        <w:rPr>
          <w:rFonts w:ascii="宋体" w:eastAsia="宋体" w:hAnsi="宋体" w:cs="宋体"/>
          <w:kern w:val="0"/>
          <w:sz w:val="24"/>
          <w:szCs w:val="24"/>
        </w:rPr>
      </w:pPr>
    </w:p>
    <w:p w:rsidR="00A75C36" w:rsidRPr="00A54E36" w:rsidRDefault="00A75C36" w:rsidP="002C520A">
      <w:pPr>
        <w:jc w:val="left"/>
      </w:pPr>
    </w:p>
    <w:sectPr w:rsidR="00A75C36" w:rsidRPr="00A54E36" w:rsidSect="004E301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9AA" w:rsidRDefault="005B69AA" w:rsidP="00632661">
      <w:r>
        <w:separator/>
      </w:r>
    </w:p>
  </w:endnote>
  <w:endnote w:type="continuationSeparator" w:id="0">
    <w:p w:rsidR="005B69AA" w:rsidRDefault="005B69AA" w:rsidP="006326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9AA" w:rsidRDefault="005B69AA" w:rsidP="00632661">
      <w:r>
        <w:separator/>
      </w:r>
    </w:p>
  </w:footnote>
  <w:footnote w:type="continuationSeparator" w:id="0">
    <w:p w:rsidR="005B69AA" w:rsidRDefault="005B69AA" w:rsidP="00632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41" w:rsidRPr="00C959DB" w:rsidRDefault="00146C41" w:rsidP="002C520A">
    <w:pPr>
      <w:pStyle w:val="a3"/>
      <w:jc w:val="both"/>
      <w:rPr>
        <w:rFonts w:asciiTheme="minorEastAsia" w:hAnsiTheme="minorEastAsia"/>
      </w:rPr>
    </w:pPr>
    <w:r>
      <w:ptab w:relativeTo="margin" w:alignment="center" w:leader="none"/>
    </w:r>
    <w:r w:rsidR="00392E09">
      <w:rPr>
        <w:noProof/>
      </w:rPr>
      <w:drawing>
        <wp:inline distT="0" distB="0" distL="0" distR="0">
          <wp:extent cx="1524000" cy="647700"/>
          <wp:effectExtent l="19050" t="0" r="0" b="0"/>
          <wp:docPr id="1" name="图片 1" descr="C:\Users\jinjunliang\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junliang\Desktop\logo.png"/>
                  <pic:cNvPicPr>
                    <a:picLocks noChangeAspect="1" noChangeArrowheads="1"/>
                  </pic:cNvPicPr>
                </pic:nvPicPr>
                <pic:blipFill>
                  <a:blip r:embed="rId1"/>
                  <a:srcRect/>
                  <a:stretch>
                    <a:fillRect/>
                  </a:stretch>
                </pic:blipFill>
                <pic:spPr bwMode="auto">
                  <a:xfrm>
                    <a:off x="0" y="0"/>
                    <a:ext cx="1524000" cy="647700"/>
                  </a:xfrm>
                  <a:prstGeom prst="rect">
                    <a:avLst/>
                  </a:prstGeom>
                  <a:noFill/>
                  <a:ln w="9525">
                    <a:noFill/>
                    <a:miter lim="800000"/>
                    <a:headEnd/>
                    <a:tailEnd/>
                  </a:ln>
                </pic:spPr>
              </pic:pic>
            </a:graphicData>
          </a:graphic>
        </wp:inline>
      </w:drawing>
    </w:r>
    <w:r w:rsidR="00E11215">
      <w:rPr>
        <w:rFonts w:hint="eastAsia"/>
      </w:rPr>
      <w:t xml:space="preserve">   </w:t>
    </w:r>
    <w:r w:rsidR="00C959DB">
      <w:rPr>
        <w:rFonts w:hint="eastAsia"/>
      </w:rPr>
      <w:t xml:space="preserve">          </w:t>
    </w:r>
    <w:r w:rsidR="007E1A7A" w:rsidRPr="00C959DB">
      <w:rPr>
        <w:rFonts w:asciiTheme="minorEastAsia" w:hAnsiTheme="minorEastAsia" w:hint="eastAsia"/>
      </w:rPr>
      <w:t>新东方在线</w:t>
    </w:r>
    <w:r w:rsidR="00700281">
      <w:rPr>
        <w:rFonts w:asciiTheme="minorEastAsia" w:hAnsiTheme="minorEastAsia" w:hint="eastAsia"/>
      </w:rPr>
      <w:t>医学网</w:t>
    </w:r>
    <w:r w:rsidR="00C959DB" w:rsidRPr="00C959DB">
      <w:rPr>
        <w:rFonts w:asciiTheme="minorEastAsia" w:hAnsiTheme="minorEastAsia" w:hint="eastAsia"/>
      </w:rPr>
      <w:t>(</w:t>
    </w:r>
    <w:hyperlink r:id="rId2" w:history="1">
      <w:r w:rsidR="00700281" w:rsidRPr="00341748">
        <w:rPr>
          <w:rStyle w:val="a6"/>
          <w:rFonts w:asciiTheme="minorEastAsia" w:hAnsiTheme="minorEastAsia"/>
        </w:rPr>
        <w:t>http://yixue.koolearn.com/</w:t>
      </w:r>
    </w:hyperlink>
    <w:r w:rsidR="00C959DB" w:rsidRPr="00C959DB">
      <w:rPr>
        <w:rFonts w:asciiTheme="minorEastAsia" w:hAnsiTheme="minorEastAsia" w:hint="eastAsia"/>
      </w:rPr>
      <w:t>)</w:t>
    </w:r>
    <w:r w:rsidR="00700281">
      <w:rPr>
        <w:rFonts w:asciiTheme="minorEastAsia" w:hAnsiTheme="minorEastAsia" w:hint="eastAsia"/>
      </w:rPr>
      <w:t>网友</w:t>
    </w:r>
    <w:r w:rsidR="00274A61" w:rsidRPr="00C959DB">
      <w:rPr>
        <w:rFonts w:asciiTheme="minorEastAsia" w:hAnsiTheme="minorEastAsia" w:hint="eastAsia"/>
      </w:rPr>
      <w:t>分享</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2661"/>
    <w:rsid w:val="000B27E7"/>
    <w:rsid w:val="00146C41"/>
    <w:rsid w:val="00161DA0"/>
    <w:rsid w:val="001A0A7B"/>
    <w:rsid w:val="001A2EC6"/>
    <w:rsid w:val="00237EBD"/>
    <w:rsid w:val="00274A61"/>
    <w:rsid w:val="00294776"/>
    <w:rsid w:val="002B57BD"/>
    <w:rsid w:val="002B71A2"/>
    <w:rsid w:val="002C520A"/>
    <w:rsid w:val="002E1F1C"/>
    <w:rsid w:val="00392E09"/>
    <w:rsid w:val="003C0DE4"/>
    <w:rsid w:val="003D6C09"/>
    <w:rsid w:val="00462E27"/>
    <w:rsid w:val="004A0752"/>
    <w:rsid w:val="004E3012"/>
    <w:rsid w:val="00590506"/>
    <w:rsid w:val="005B69AA"/>
    <w:rsid w:val="00632661"/>
    <w:rsid w:val="00700281"/>
    <w:rsid w:val="00780D89"/>
    <w:rsid w:val="007E1A7A"/>
    <w:rsid w:val="00813310"/>
    <w:rsid w:val="008F1262"/>
    <w:rsid w:val="00931403"/>
    <w:rsid w:val="00976682"/>
    <w:rsid w:val="009A789F"/>
    <w:rsid w:val="00A30FB5"/>
    <w:rsid w:val="00A54E36"/>
    <w:rsid w:val="00A75C36"/>
    <w:rsid w:val="00B271FF"/>
    <w:rsid w:val="00B75912"/>
    <w:rsid w:val="00BD2C99"/>
    <w:rsid w:val="00C5110E"/>
    <w:rsid w:val="00C71F51"/>
    <w:rsid w:val="00C959DB"/>
    <w:rsid w:val="00C970CE"/>
    <w:rsid w:val="00CD2248"/>
    <w:rsid w:val="00CE0DE1"/>
    <w:rsid w:val="00D15645"/>
    <w:rsid w:val="00D20134"/>
    <w:rsid w:val="00E11215"/>
    <w:rsid w:val="00F374F6"/>
    <w:rsid w:val="00F95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6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2661"/>
    <w:rPr>
      <w:sz w:val="18"/>
      <w:szCs w:val="18"/>
    </w:rPr>
  </w:style>
  <w:style w:type="paragraph" w:styleId="a4">
    <w:name w:val="footer"/>
    <w:basedOn w:val="a"/>
    <w:link w:val="Char0"/>
    <w:uiPriority w:val="99"/>
    <w:semiHidden/>
    <w:unhideWhenUsed/>
    <w:rsid w:val="006326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2661"/>
    <w:rPr>
      <w:sz w:val="18"/>
      <w:szCs w:val="18"/>
    </w:rPr>
  </w:style>
  <w:style w:type="paragraph" w:styleId="a5">
    <w:name w:val="Balloon Text"/>
    <w:basedOn w:val="a"/>
    <w:link w:val="Char1"/>
    <w:uiPriority w:val="99"/>
    <w:semiHidden/>
    <w:unhideWhenUsed/>
    <w:rsid w:val="00146C41"/>
    <w:rPr>
      <w:sz w:val="18"/>
      <w:szCs w:val="18"/>
    </w:rPr>
  </w:style>
  <w:style w:type="character" w:customStyle="1" w:styleId="Char1">
    <w:name w:val="批注框文本 Char"/>
    <w:basedOn w:val="a0"/>
    <w:link w:val="a5"/>
    <w:uiPriority w:val="99"/>
    <w:semiHidden/>
    <w:rsid w:val="00146C41"/>
    <w:rPr>
      <w:sz w:val="18"/>
      <w:szCs w:val="18"/>
    </w:rPr>
  </w:style>
  <w:style w:type="character" w:styleId="a6">
    <w:name w:val="Hyperlink"/>
    <w:basedOn w:val="a0"/>
    <w:uiPriority w:val="99"/>
    <w:unhideWhenUsed/>
    <w:rsid w:val="008F1262"/>
    <w:rPr>
      <w:color w:val="0000FF" w:themeColor="hyperlink"/>
      <w:u w:val="single"/>
    </w:rPr>
  </w:style>
  <w:style w:type="paragraph" w:styleId="a7">
    <w:name w:val="Normal (Web)"/>
    <w:basedOn w:val="a"/>
    <w:uiPriority w:val="99"/>
    <w:unhideWhenUsed/>
    <w:rsid w:val="00B271F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271FF"/>
    <w:rPr>
      <w:b/>
      <w:bCs/>
    </w:rPr>
  </w:style>
</w:styles>
</file>

<file path=word/webSettings.xml><?xml version="1.0" encoding="utf-8"?>
<w:webSettings xmlns:r="http://schemas.openxmlformats.org/officeDocument/2006/relationships" xmlns:w="http://schemas.openxmlformats.org/wordprocessingml/2006/main">
  <w:divs>
    <w:div w:id="411438481">
      <w:bodyDiv w:val="1"/>
      <w:marLeft w:val="0"/>
      <w:marRight w:val="0"/>
      <w:marTop w:val="0"/>
      <w:marBottom w:val="0"/>
      <w:divBdr>
        <w:top w:val="none" w:sz="0" w:space="0" w:color="auto"/>
        <w:left w:val="none" w:sz="0" w:space="0" w:color="auto"/>
        <w:bottom w:val="none" w:sz="0" w:space="0" w:color="auto"/>
        <w:right w:val="none" w:sz="0" w:space="0" w:color="auto"/>
      </w:divBdr>
    </w:div>
    <w:div w:id="20990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yixue.koolearn.com/"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1237</Words>
  <Characters>7053</Characters>
  <Application>Microsoft Office Word</Application>
  <DocSecurity>0</DocSecurity>
  <Lines>58</Lines>
  <Paragraphs>16</Paragraphs>
  <ScaleCrop>false</ScaleCrop>
  <Company>Lenovo</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jinjunliang</dc:creator>
  <cp:lastModifiedBy>liangliwei</cp:lastModifiedBy>
  <cp:revision>2</cp:revision>
  <dcterms:created xsi:type="dcterms:W3CDTF">2017-04-25T08:51:00Z</dcterms:created>
  <dcterms:modified xsi:type="dcterms:W3CDTF">2017-04-25T08:51:00Z</dcterms:modified>
</cp:coreProperties>
</file>