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AF" w:rsidRDefault="00DD5EAF" w:rsidP="00DD5EAF">
      <w:pPr>
        <w:jc w:val="center"/>
        <w:rPr>
          <w:rFonts w:hint="eastAsia"/>
          <w:b/>
          <w:szCs w:val="21"/>
        </w:rPr>
      </w:pPr>
      <w:r w:rsidRPr="00DD5EAF">
        <w:rPr>
          <w:rFonts w:hint="eastAsia"/>
          <w:b/>
          <w:szCs w:val="21"/>
        </w:rPr>
        <w:t>2015</w:t>
      </w:r>
      <w:r w:rsidRPr="00DD5EAF">
        <w:rPr>
          <w:rFonts w:hint="eastAsia"/>
          <w:b/>
          <w:szCs w:val="21"/>
        </w:rPr>
        <w:t>年执业药师考试大纲</w:t>
      </w:r>
      <w:r w:rsidRPr="00DD5EAF">
        <w:rPr>
          <w:rFonts w:hint="eastAsia"/>
          <w:b/>
          <w:szCs w:val="21"/>
        </w:rPr>
        <w:t>-</w:t>
      </w:r>
      <w:r w:rsidRPr="00DD5EAF">
        <w:rPr>
          <w:rFonts w:hint="eastAsia"/>
          <w:b/>
          <w:szCs w:val="21"/>
        </w:rPr>
        <w:t>药学综合知识与技能免费下载</w:t>
      </w:r>
    </w:p>
    <w:p w:rsidR="00DD5EAF" w:rsidRDefault="00DD5EAF" w:rsidP="00DD5EAF">
      <w:pPr>
        <w:jc w:val="left"/>
        <w:rPr>
          <w:rFonts w:hint="eastAsia"/>
          <w:b/>
          <w:szCs w:val="21"/>
        </w:rPr>
      </w:pPr>
    </w:p>
    <w:p w:rsidR="00DD5EAF" w:rsidRDefault="00DD5EAF" w:rsidP="00DD5EAF">
      <w:pPr>
        <w:pStyle w:val="a8"/>
      </w:pPr>
      <w:r>
        <w:t xml:space="preserve">　2015年</w:t>
      </w:r>
      <w:hyperlink r:id="rId6" w:tgtFrame="_blank" w:history="1">
        <w:r>
          <w:rPr>
            <w:rStyle w:val="a6"/>
          </w:rPr>
          <w:t>执业药师考试</w:t>
        </w:r>
      </w:hyperlink>
      <w:r>
        <w:t>大纲-《药学综合知识与技能》已经公布，2015年</w:t>
      </w:r>
      <w:hyperlink r:id="rId7" w:tgtFrame="_blank" w:history="1">
        <w:r>
          <w:rPr>
            <w:rStyle w:val="a6"/>
          </w:rPr>
          <w:t>执业药师</w:t>
        </w:r>
      </w:hyperlink>
      <w:r>
        <w:t>考试大纲有较大变动，</w:t>
      </w:r>
      <w:hyperlink r:id="rId8" w:tgtFrame="_blank" w:history="1">
        <w:r>
          <w:rPr>
            <w:rStyle w:val="a6"/>
          </w:rPr>
          <w:t>新东方在线医学网</w:t>
        </w:r>
      </w:hyperlink>
      <w:r>
        <w:t>第一时间整理2015年执业药师考试大纲-药学综合知识与技能免费下载，供考生查看：</w:t>
      </w:r>
    </w:p>
    <w:p w:rsidR="00DD5EAF" w:rsidRDefault="00DD5EAF" w:rsidP="00DD5EAF">
      <w:pPr>
        <w:pStyle w:val="a8"/>
      </w:pPr>
      <w:r>
        <w:t xml:space="preserve">　　《药学综合知识与技能》主要考查药学类执业药师综合运用所学的各项知识和技能，正确分析、处理和解决在开展药品质量管理和指导合理用药工作中所遇到各种实际问题的能力，集中反映执业药师理论联系实际、有效开展药学服务的综合知识与技能的要求。</w:t>
      </w:r>
    </w:p>
    <w:p w:rsidR="00DD5EAF" w:rsidRDefault="00DD5EAF" w:rsidP="00DD5EAF">
      <w:pPr>
        <w:pStyle w:val="a8"/>
      </w:pPr>
      <w:r>
        <w:t xml:space="preserve">　　本科目考试大纲包括两大部分，即“药学实践与用药安全”和“自我药疗与药物治疗”。在“药学实践与用药安全”中，要求重点掌握处方调剂、处方审核、药学计算、开展用药咨询、特殊人群用药等药学实践工作所需的综合知识与技能；熟悉药品临床评价方法与应用的知识。在“自我药疗与药物治疗”中，要求重点掌握常见症状及“小病”的判断、处置，常见疾病的药物治疗和合理用药方案优化；熟悉中毒解救的药学支持，疾病健康教育和宣传等综合知识与技能。</w:t>
      </w:r>
    </w:p>
    <w:tbl>
      <w:tblPr>
        <w:tblW w:w="84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70"/>
        <w:gridCol w:w="2197"/>
        <w:gridCol w:w="1727"/>
        <w:gridCol w:w="3167"/>
      </w:tblGrid>
      <w:tr w:rsidR="00DD5EAF" w:rsidTr="00DD5EA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大单元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小单元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细目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要点　　</w:t>
            </w:r>
          </w:p>
        </w:tc>
      </w:tr>
      <w:tr w:rsidR="00DD5EAF" w:rsidTr="00DD5EA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上篇药学实践与用药安全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一、执业药师与药学服务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（一）药学服务的基本要求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药学服务的内涵与服务对象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）药学服务的重要人群</w:t>
            </w:r>
            <w:r>
              <w:br/>
            </w:r>
            <w:r>
              <w:t>（</w:t>
            </w:r>
            <w:r>
              <w:t>2</w:t>
            </w:r>
            <w:r>
              <w:t xml:space="preserve">）执业药师与药学服务的关系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（二）药学服务的开展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药学服务的能力要求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wordWrap w:val="0"/>
              <w:rPr>
                <w:rFonts w:ascii="宋体" w:eastAsia="宋体" w:hAnsi="宋体" w:cs="宋体"/>
                <w:sz w:val="24"/>
                <w:szCs w:val="24"/>
              </w:rPr>
            </w:pPr>
            <w:r>
              <w:t>（</w:t>
            </w:r>
            <w:r>
              <w:t>1</w:t>
            </w:r>
            <w:r>
              <w:t>）职业道德</w:t>
            </w:r>
            <w:r>
              <w:br/>
            </w:r>
            <w:r>
              <w:t>（</w:t>
            </w:r>
            <w:r>
              <w:t>2</w:t>
            </w:r>
            <w:r>
              <w:t>）专业知识</w:t>
            </w:r>
            <w:r>
              <w:br/>
            </w:r>
            <w:r>
              <w:t>（</w:t>
            </w:r>
            <w:r>
              <w:t>3</w:t>
            </w:r>
            <w:r>
              <w:t xml:space="preserve">）专业技能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药学服务的内容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wordWrap w:val="0"/>
              <w:rPr>
                <w:rFonts w:ascii="宋体" w:eastAsia="宋体" w:hAnsi="宋体" w:cs="宋体"/>
                <w:sz w:val="24"/>
                <w:szCs w:val="24"/>
              </w:rPr>
            </w:pPr>
            <w:r>
              <w:t>（</w:t>
            </w:r>
            <w:r>
              <w:t>1</w:t>
            </w:r>
            <w:r>
              <w:t>）主要工作内容</w:t>
            </w:r>
            <w:r>
              <w:br/>
            </w:r>
            <w:r>
              <w:t>（</w:t>
            </w:r>
            <w:r>
              <w:t>2</w:t>
            </w:r>
            <w:r>
              <w:t xml:space="preserve">）药学服务新进展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二、药品调剂和药品管理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（一）处方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处方的种类和结构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wordWrap w:val="0"/>
              <w:rPr>
                <w:rFonts w:ascii="宋体" w:eastAsia="宋体" w:hAnsi="宋体" w:cs="宋体"/>
                <w:sz w:val="24"/>
                <w:szCs w:val="24"/>
              </w:rPr>
            </w:pPr>
            <w:r>
              <w:t>（</w:t>
            </w:r>
            <w:r>
              <w:t>1</w:t>
            </w:r>
            <w:r>
              <w:t>）处方的结构</w:t>
            </w:r>
            <w:r>
              <w:br/>
            </w:r>
            <w:r>
              <w:t>（</w:t>
            </w:r>
            <w:r>
              <w:t>2</w:t>
            </w:r>
            <w:r>
              <w:t xml:space="preserve">）处方的种类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处方调剂操作规程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处方调剂的具体流程和具体要求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（二）处方审核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处方合法性审核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wordWrap w:val="0"/>
              <w:rPr>
                <w:rFonts w:ascii="宋体" w:eastAsia="宋体" w:hAnsi="宋体" w:cs="宋体"/>
                <w:sz w:val="24"/>
                <w:szCs w:val="24"/>
              </w:rPr>
            </w:pPr>
            <w:r>
              <w:t>（</w:t>
            </w:r>
            <w:r>
              <w:t>1</w:t>
            </w:r>
            <w:r>
              <w:t>）处方规则，确认处方的完整性、判断典型处方的内容正确性，能从处方提供的信息中找出不足</w:t>
            </w:r>
            <w:r>
              <w:br/>
            </w:r>
            <w:r>
              <w:t>（</w:t>
            </w:r>
            <w:r>
              <w:t>2</w:t>
            </w:r>
            <w:r>
              <w:t>）药品通用名</w:t>
            </w:r>
            <w:r>
              <w:br/>
            </w:r>
            <w:r>
              <w:t>（</w:t>
            </w:r>
            <w:r>
              <w:t>3</w:t>
            </w:r>
            <w:r>
              <w:t>）药物分类及通用的药名词干</w:t>
            </w:r>
            <w:r>
              <w:br/>
            </w:r>
            <w:r>
              <w:t>（</w:t>
            </w:r>
            <w:r>
              <w:t>4</w:t>
            </w:r>
            <w:r>
              <w:t xml:space="preserve">）处方缩写词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用药适宜性审核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wordWrap w:val="0"/>
              <w:rPr>
                <w:rFonts w:ascii="宋体" w:eastAsia="宋体" w:hAnsi="宋体" w:cs="宋体"/>
                <w:sz w:val="24"/>
                <w:szCs w:val="24"/>
              </w:rPr>
            </w:pPr>
            <w:r>
              <w:t>（</w:t>
            </w:r>
            <w:r>
              <w:t>1</w:t>
            </w:r>
            <w:r>
              <w:t>）处方用药与病症诊断的相符性</w:t>
            </w:r>
            <w:r>
              <w:br/>
            </w:r>
            <w:r>
              <w:t>（</w:t>
            </w:r>
            <w:r>
              <w:t>2</w:t>
            </w:r>
            <w:r>
              <w:t>）剂量、用法和疗程的正确性</w:t>
            </w:r>
            <w:r>
              <w:br/>
            </w:r>
            <w:r>
              <w:t>（</w:t>
            </w:r>
            <w:r>
              <w:t>3</w:t>
            </w:r>
            <w:r>
              <w:t>）选用剂型与给药途径的合理性</w:t>
            </w:r>
            <w:r>
              <w:br/>
            </w:r>
            <w:r>
              <w:lastRenderedPageBreak/>
              <w:t>（</w:t>
            </w:r>
            <w:r>
              <w:t>4</w:t>
            </w:r>
            <w:r>
              <w:t>）是否有重复用药现象</w:t>
            </w:r>
            <w:r>
              <w:br/>
            </w:r>
            <w:r>
              <w:t>新东方在线医</w:t>
            </w:r>
            <w:r>
              <w:t>|</w:t>
            </w:r>
            <w:r>
              <w:t>学（</w:t>
            </w:r>
            <w:r>
              <w:t>5</w:t>
            </w:r>
            <w:r>
              <w:t>）对规定必须做皮试的药品，处方医师是否注明过敏试验及结果判定</w:t>
            </w:r>
            <w:r>
              <w:br/>
            </w:r>
            <w:r>
              <w:t>（</w:t>
            </w:r>
            <w:r>
              <w:t>6</w:t>
            </w:r>
            <w:r>
              <w:t xml:space="preserve">）是否有潜在临床意义的相互作用和配伍禁忌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3.</w:t>
            </w:r>
            <w:r>
              <w:t xml:space="preserve">审核结果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对审核结果的判读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（三）处方调配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处方调配的内容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）能按照处方的记载正确准备药品</w:t>
            </w:r>
            <w:r>
              <w:br/>
            </w:r>
            <w:r>
              <w:t>（</w:t>
            </w:r>
            <w:r>
              <w:t>2</w:t>
            </w:r>
            <w:r>
              <w:t>）通过通用名、商品名、别名、品牌名来确定药物</w:t>
            </w:r>
            <w:r>
              <w:br/>
            </w:r>
            <w:r>
              <w:t>（</w:t>
            </w:r>
            <w:r>
              <w:t>3</w:t>
            </w:r>
            <w:r>
              <w:t>）识别合适的包装和贮存要求</w:t>
            </w:r>
            <w:r>
              <w:br/>
            </w:r>
            <w:r>
              <w:t>（</w:t>
            </w:r>
            <w:r>
              <w:t>4</w:t>
            </w:r>
            <w:r>
              <w:t>）单剂量调配</w:t>
            </w:r>
            <w:r>
              <w:br/>
            </w:r>
            <w:r>
              <w:t>（</w:t>
            </w:r>
            <w:r>
              <w:t>5</w:t>
            </w:r>
            <w:r>
              <w:t>）用法用量签及特别提示的准备和粘贴</w:t>
            </w:r>
            <w:r>
              <w:br/>
            </w:r>
            <w:r>
              <w:t>（</w:t>
            </w:r>
            <w:r>
              <w:t>6</w:t>
            </w:r>
            <w:r>
              <w:t xml:space="preserve">）核查与发药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（四）药品管理和供应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药品管理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）影响药品质量的因素</w:t>
            </w:r>
            <w:r>
              <w:br/>
            </w:r>
            <w:r>
              <w:t>（</w:t>
            </w:r>
            <w:r>
              <w:t>2</w:t>
            </w:r>
            <w:r>
              <w:t>）药品质量验收</w:t>
            </w:r>
            <w:r>
              <w:br/>
            </w:r>
            <w:r>
              <w:t>（</w:t>
            </w:r>
            <w:r>
              <w:t>3</w:t>
            </w:r>
            <w:r>
              <w:t xml:space="preserve">）药品的贮存与保管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需要特殊注意的药品的管理和使用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）高危药品管理</w:t>
            </w:r>
            <w:r>
              <w:br/>
            </w:r>
            <w:r>
              <w:t>（</w:t>
            </w:r>
            <w:r>
              <w:t>2</w:t>
            </w:r>
            <w:r>
              <w:t>）麻醉药品精神药品管理</w:t>
            </w:r>
            <w:r>
              <w:br/>
            </w:r>
            <w:r>
              <w:t>（</w:t>
            </w:r>
            <w:r>
              <w:t>3</w:t>
            </w:r>
            <w:r>
              <w:t>）兴奋剂管</w:t>
            </w:r>
            <w:r>
              <w:br/>
            </w:r>
            <w:r>
              <w:t>（</w:t>
            </w:r>
            <w:r>
              <w:t>4</w:t>
            </w:r>
            <w:r>
              <w:t>）生物制品管理</w:t>
            </w:r>
            <w:r>
              <w:br/>
            </w:r>
            <w:r>
              <w:t>（</w:t>
            </w:r>
            <w:r>
              <w:t>5</w:t>
            </w:r>
            <w:r>
              <w:t>）血液制品管理</w:t>
            </w:r>
            <w:r>
              <w:br/>
            </w:r>
            <w:r>
              <w:t>（</w:t>
            </w:r>
            <w:r>
              <w:t>6</w:t>
            </w:r>
            <w:r>
              <w:t xml:space="preserve">）医院制剂管理与使用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（五）药学计算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给药剂量的计算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）药品规格与剂量单位换算</w:t>
            </w:r>
            <w:r>
              <w:br/>
            </w:r>
            <w:r>
              <w:t>（</w:t>
            </w:r>
            <w:r>
              <w:t>2</w:t>
            </w:r>
            <w:r>
              <w:t xml:space="preserve">）滴速的计算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浓度的计算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）百分浓度计算</w:t>
            </w:r>
            <w:r>
              <w:br/>
            </w:r>
            <w:r>
              <w:t>（</w:t>
            </w:r>
            <w:r>
              <w:t>2</w:t>
            </w:r>
            <w:r>
              <w:t>）高浓度向低浓度稀释</w:t>
            </w:r>
            <w:r>
              <w:br/>
            </w:r>
            <w:r>
              <w:t>（</w:t>
            </w:r>
            <w:r>
              <w:t>3</w:t>
            </w:r>
            <w:r>
              <w:t>）两种浓度混和的换算</w:t>
            </w:r>
            <w:r>
              <w:br/>
            </w:r>
            <w:r>
              <w:t>（</w:t>
            </w:r>
            <w:r>
              <w:t>4</w:t>
            </w:r>
            <w:r>
              <w:t>）摩尔浓度的换算</w:t>
            </w:r>
            <w:r>
              <w:br/>
            </w:r>
            <w:r>
              <w:t>（</w:t>
            </w:r>
            <w:r>
              <w:t>5</w:t>
            </w:r>
            <w:r>
              <w:t xml:space="preserve">）等渗浓度的计算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3.</w:t>
            </w:r>
            <w:r>
              <w:t xml:space="preserve">抗生素及维生素计量单位的换算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）抗生素效价与质量的换算</w:t>
            </w:r>
            <w:r>
              <w:br/>
            </w:r>
            <w:r>
              <w:t>（</w:t>
            </w:r>
            <w:r>
              <w:t>2</w:t>
            </w:r>
            <w:r>
              <w:t xml:space="preserve">）维生素类药常用单位与质量的换算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4.</w:t>
            </w:r>
            <w:r>
              <w:t xml:space="preserve">肠外营养的能量配比计算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糖、脂肪、氨基酸能量配比计算　　</w:t>
            </w:r>
          </w:p>
        </w:tc>
      </w:tr>
      <w:tr w:rsidR="00DD5EAF" w:rsidTr="00DD5EA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D5EAF" w:rsidRDefault="00DD5EAF">
            <w:pPr>
              <w:wordWrap w:val="0"/>
              <w:rPr>
                <w:rFonts w:ascii="宋体" w:eastAsia="宋体" w:hAnsi="宋体" w:cs="宋体"/>
                <w:sz w:val="24"/>
                <w:szCs w:val="24"/>
              </w:rPr>
            </w:pPr>
            <w:r>
              <w:rPr>
                <w:noProof/>
              </w:rPr>
              <w:lastRenderedPageBreak/>
              <w:drawing>
                <wp:inline distT="0" distB="0" distL="0" distR="0">
                  <wp:extent cx="5905500" cy="4505325"/>
                  <wp:effectExtent l="19050" t="0" r="0" b="0"/>
                  <wp:docPr id="4" name="图片 1" descr="http://file.koolearn.com/20150209/14234456748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koolearn.com/20150209/14234456748442.png"/>
                          <pic:cNvPicPr>
                            <a:picLocks noChangeAspect="1" noChangeArrowheads="1"/>
                          </pic:cNvPicPr>
                        </pic:nvPicPr>
                        <pic:blipFill>
                          <a:blip r:embed="rId9"/>
                          <a:srcRect/>
                          <a:stretch>
                            <a:fillRect/>
                          </a:stretch>
                        </pic:blipFill>
                        <pic:spPr bwMode="auto">
                          <a:xfrm>
                            <a:off x="0" y="0"/>
                            <a:ext cx="5905500" cy="4505325"/>
                          </a:xfrm>
                          <a:prstGeom prst="rect">
                            <a:avLst/>
                          </a:prstGeom>
                          <a:noFill/>
                          <a:ln w="9525">
                            <a:noFill/>
                            <a:miter lim="800000"/>
                            <a:headEnd/>
                            <a:tailEnd/>
                          </a:ln>
                        </pic:spPr>
                      </pic:pic>
                    </a:graphicData>
                  </a:graphic>
                </wp:inline>
              </w:drawing>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四、用药安全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（一）药物警戒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药物警戒的开展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）药物警戒的信号</w:t>
            </w:r>
            <w:r>
              <w:br/>
            </w:r>
            <w:r>
              <w:t>（</w:t>
            </w:r>
            <w:r>
              <w:t>2</w:t>
            </w:r>
            <w:r>
              <w:t xml:space="preserve">）药物警戒的工作内容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（二）药品不良反应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药品不良反应报告和监测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）监测的目的和意义</w:t>
            </w:r>
            <w:r>
              <w:br/>
            </w:r>
            <w:r>
              <w:t>（</w:t>
            </w:r>
            <w:r>
              <w:t>2</w:t>
            </w:r>
            <w:r>
              <w:t>）监测的方法</w:t>
            </w:r>
            <w:r>
              <w:br/>
            </w:r>
            <w:r>
              <w:t>（</w:t>
            </w:r>
            <w:r>
              <w:t>3</w:t>
            </w:r>
            <w:r>
              <w:t>）程度分级标准</w:t>
            </w:r>
            <w:r>
              <w:br/>
            </w:r>
            <w:r>
              <w:t>（</w:t>
            </w:r>
            <w:r>
              <w:t>4</w:t>
            </w:r>
            <w:r>
              <w:t>）因果关系评价原则</w:t>
            </w:r>
            <w:r>
              <w:br/>
            </w:r>
            <w:r>
              <w:t>（</w:t>
            </w:r>
            <w:r>
              <w:t>5</w:t>
            </w:r>
            <w:r>
              <w:t>）不良反应报告范围</w:t>
            </w:r>
            <w:r>
              <w:br/>
            </w:r>
            <w:r>
              <w:t>（</w:t>
            </w:r>
            <w:r>
              <w:t>6</w:t>
            </w:r>
            <w:r>
              <w:t xml:space="preserve">）不良反应报告的填写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（三）药源性疾病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药源性疾病的发生与防治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）药源性疾病及诱发因素</w:t>
            </w:r>
            <w:r>
              <w:br/>
            </w:r>
            <w:r>
              <w:t>（</w:t>
            </w:r>
            <w:r>
              <w:t>2</w:t>
            </w:r>
            <w:r>
              <w:t xml:space="preserve">）常见药源性疾病的发生原因、临床表现及防治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（四）用药错误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用药错误的基本知识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）用药错误的原因</w:t>
            </w:r>
            <w:r>
              <w:br/>
            </w:r>
            <w:r>
              <w:t>（</w:t>
            </w:r>
            <w:r>
              <w:t>2</w:t>
            </w:r>
            <w:r>
              <w:t xml:space="preserve">）用药错误的类型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用药错误的防范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）发现用药错误的方法</w:t>
            </w:r>
            <w:r>
              <w:br/>
            </w:r>
            <w:r>
              <w:t>（</w:t>
            </w:r>
            <w:r>
              <w:t>2</w:t>
            </w:r>
            <w:r>
              <w:t>）不同环节用药错误的防范措施</w:t>
            </w:r>
            <w:r>
              <w:br/>
            </w:r>
            <w:r>
              <w:t>（</w:t>
            </w:r>
            <w:r>
              <w:t>3</w:t>
            </w:r>
            <w:r>
              <w:t xml:space="preserve">）药师的作用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（五）药品质量缺陷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药品质量缺陷问题的处置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）药品质量缺陷问题的识别与分析</w:t>
            </w:r>
            <w:r>
              <w:br/>
            </w:r>
            <w:r>
              <w:t>（</w:t>
            </w:r>
            <w:r>
              <w:t>2</w:t>
            </w:r>
            <w:r>
              <w:t xml:space="preserve">）药品召回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（六）特殊人群用药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妊娠妇女用药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）妊娠期药动学特点</w:t>
            </w:r>
            <w:r>
              <w:br/>
            </w:r>
            <w:r>
              <w:t>（</w:t>
            </w:r>
            <w:r>
              <w:t>2</w:t>
            </w:r>
            <w:r>
              <w:t>）药物通过胎盘的影响因素</w:t>
            </w:r>
            <w:r>
              <w:br/>
            </w:r>
            <w:r>
              <w:t>（</w:t>
            </w:r>
            <w:r>
              <w:t>3</w:t>
            </w:r>
            <w:r>
              <w:t>）药物对妊娠期不同阶段胎儿的影响药</w:t>
            </w:r>
            <w:r>
              <w:br/>
            </w:r>
            <w:r>
              <w:t>（</w:t>
            </w:r>
            <w:r>
              <w:t>4</w:t>
            </w:r>
            <w:r>
              <w:t>）物妊娠毒性分级</w:t>
            </w:r>
            <w:r>
              <w:br/>
            </w:r>
            <w:r>
              <w:t>（</w:t>
            </w:r>
            <w:r>
              <w:t>5</w:t>
            </w:r>
            <w:r>
              <w:t xml:space="preserve">）妊娠期用药原则、孕期保健与咨询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哺乳期妇女用药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wordWrap w:val="0"/>
              <w:rPr>
                <w:rFonts w:ascii="宋体" w:eastAsia="宋体" w:hAnsi="宋体" w:cs="宋体"/>
                <w:sz w:val="24"/>
                <w:szCs w:val="24"/>
              </w:rPr>
            </w:pPr>
            <w:r>
              <w:t>（</w:t>
            </w:r>
            <w:r>
              <w:t>1</w:t>
            </w:r>
            <w:r>
              <w:t>）药物的乳汁分泌</w:t>
            </w:r>
            <w:r>
              <w:br/>
            </w:r>
            <w:r>
              <w:t>（</w:t>
            </w:r>
            <w:r>
              <w:t>2</w:t>
            </w:r>
            <w:r>
              <w:t>）哺乳期的特点和用药对策新东</w:t>
            </w:r>
            <w:r>
              <w:t>|</w:t>
            </w:r>
            <w:r>
              <w:t>方在线医</w:t>
            </w:r>
            <w:r>
              <w:t>|</w:t>
            </w:r>
            <w:r>
              <w:t xml:space="preserve">学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3.</w:t>
            </w:r>
            <w:r>
              <w:t xml:space="preserve">新生儿用药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）新生儿药动学和用药特点</w:t>
            </w:r>
            <w:r>
              <w:br/>
            </w:r>
            <w:r>
              <w:t>（</w:t>
            </w:r>
            <w:r>
              <w:t>2</w:t>
            </w:r>
            <w:r>
              <w:t>）药物对新生儿的不良反应</w:t>
            </w:r>
            <w:r>
              <w:br/>
            </w:r>
            <w:r>
              <w:t>（</w:t>
            </w:r>
            <w:r>
              <w:t>3</w:t>
            </w:r>
            <w:r>
              <w:t>）合理用药原则</w:t>
            </w:r>
            <w:r>
              <w:br/>
            </w:r>
            <w:r>
              <w:t>（</w:t>
            </w:r>
            <w:r>
              <w:t>4</w:t>
            </w:r>
            <w:r>
              <w:t xml:space="preserve">）剂量计算方法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4.</w:t>
            </w:r>
            <w:r>
              <w:t xml:space="preserve">儿童用药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）儿科疾病特点</w:t>
            </w:r>
            <w:r>
              <w:br/>
            </w:r>
            <w:r>
              <w:t>（</w:t>
            </w:r>
            <w:r>
              <w:t>2</w:t>
            </w:r>
            <w:r>
              <w:t>）儿童药效学方面的改变</w:t>
            </w:r>
            <w:r>
              <w:br/>
            </w:r>
            <w:r>
              <w:t>（</w:t>
            </w:r>
            <w:r>
              <w:t>3</w:t>
            </w:r>
            <w:r>
              <w:t>）儿童药动学方面的改变</w:t>
            </w:r>
            <w:r>
              <w:br/>
            </w:r>
            <w:r>
              <w:t>（</w:t>
            </w:r>
            <w:r>
              <w:t>4</w:t>
            </w:r>
            <w:r>
              <w:t>）儿童用药的一般原则</w:t>
            </w:r>
            <w:r>
              <w:br/>
            </w:r>
            <w:r>
              <w:t>（</w:t>
            </w:r>
            <w:r>
              <w:t>5</w:t>
            </w:r>
            <w:r>
              <w:t xml:space="preserve">）剂量计算方法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5.</w:t>
            </w:r>
            <w:r>
              <w:t xml:space="preserve">老年人用药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）老年人药效学方面的改变</w:t>
            </w:r>
            <w:r>
              <w:br/>
            </w:r>
            <w:r>
              <w:t>（</w:t>
            </w:r>
            <w:r>
              <w:t>2</w:t>
            </w:r>
            <w:r>
              <w:t>）老年人药动学方面的改变</w:t>
            </w:r>
            <w:r>
              <w:br/>
            </w:r>
            <w:r>
              <w:t>（</w:t>
            </w:r>
            <w:r>
              <w:t>3</w:t>
            </w:r>
            <w:r>
              <w:t xml:space="preserve">）老年人疾病特点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6.</w:t>
            </w:r>
            <w:r>
              <w:t xml:space="preserve">肝功能不全患者用药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）肝脏疾病对药物作用的影响</w:t>
            </w:r>
            <w:r>
              <w:br/>
            </w:r>
            <w:r>
              <w:t>（</w:t>
            </w:r>
            <w:r>
              <w:t>2</w:t>
            </w:r>
            <w:r>
              <w:t xml:space="preserve">）肝功能不全患者的给药方案调整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7.</w:t>
            </w:r>
            <w:r>
              <w:t xml:space="preserve">肾功能不全患者用药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）影响药物肾脏排泄量的因素</w:t>
            </w:r>
            <w:r>
              <w:br/>
            </w:r>
            <w:r>
              <w:t>（</w:t>
            </w:r>
            <w:r>
              <w:t>2</w:t>
            </w:r>
            <w:r>
              <w:t>）肾功能不全患者的给药方案调整</w:t>
            </w:r>
            <w:r>
              <w:br/>
            </w:r>
            <w:r>
              <w:t>（</w:t>
            </w:r>
            <w:r>
              <w:t>3</w:t>
            </w:r>
            <w:r>
              <w:t xml:space="preserve">）透析对药物的影响，透析患者用药注意事项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8.</w:t>
            </w:r>
            <w:r>
              <w:t xml:space="preserve">驾驶员用药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驾驶员应慎用的药物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五、药品的临床评价方法与应用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（一）治疗药物评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治疗药物的有效性评价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新药与临床疗效评价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治疗药物的安全性评价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安全性评价的重要性和内容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3.</w:t>
            </w:r>
            <w:r>
              <w:t xml:space="preserve">治疗药物的药物经济学评价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药物经济学在药物评价中的作用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4.</w:t>
            </w:r>
            <w:r>
              <w:t xml:space="preserve">治疗药物品种的质量评价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中国药品的质量现状，关注的要点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（二）药物基因组学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药物基因组学在个体化给药中的应用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）药物基因组学的临床应用</w:t>
            </w:r>
            <w:r>
              <w:br/>
            </w:r>
            <w:r>
              <w:t>（</w:t>
            </w:r>
            <w:r>
              <w:t>2</w:t>
            </w:r>
            <w:r>
              <w:t xml:space="preserve">）需要关注的重点药品及其说明书的变化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（三）循证医学与药物治疗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循证医学在药物治疗中的应用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循证医学证据分级和循证医学决策　　</w:t>
            </w:r>
          </w:p>
        </w:tc>
      </w:tr>
    </w:tbl>
    <w:p w:rsidR="00DD5EAF" w:rsidRDefault="00DD5EAF" w:rsidP="00DD5EAF">
      <w:pPr>
        <w:jc w:val="center"/>
      </w:pPr>
      <w:r>
        <w:t>下篇自我药疗与药物治疗</w:t>
      </w:r>
    </w:p>
    <w:tbl>
      <w:tblPr>
        <w:tblW w:w="84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3"/>
        <w:gridCol w:w="2290"/>
        <w:gridCol w:w="2720"/>
        <w:gridCol w:w="2369"/>
      </w:tblGrid>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六、药物治疗的基础知识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药物治疗方案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药物治疗方案制定的一般原则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安全性、有效性、经济性与规范性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药物治疗方案制定的基本过程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wordWrap w:val="0"/>
              <w:rPr>
                <w:rFonts w:ascii="宋体" w:eastAsia="宋体" w:hAnsi="宋体" w:cs="宋体"/>
                <w:sz w:val="24"/>
                <w:szCs w:val="24"/>
              </w:rPr>
            </w:pPr>
            <w:r>
              <w:t>（</w:t>
            </w:r>
            <w:r>
              <w:t>1</w:t>
            </w:r>
            <w:r>
              <w:t>）识别和评估病人的症状和体征，给予非处方药物信息</w:t>
            </w:r>
            <w:r>
              <w:br/>
            </w:r>
            <w:r>
              <w:t>（</w:t>
            </w:r>
            <w:r>
              <w:t>2</w:t>
            </w:r>
            <w:r>
              <w:t>）治疗药物选择的基本原则及方法</w:t>
            </w:r>
            <w:r>
              <w:br/>
            </w:r>
            <w:r>
              <w:t>（</w:t>
            </w:r>
            <w:r>
              <w:t>3</w:t>
            </w:r>
            <w:r>
              <w:t xml:space="preserve">）给药方案制定和调整的基本步骤及方法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七、常用医学检查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（一）血常规检查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常用指标及其临床意义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wordWrap w:val="0"/>
              <w:rPr>
                <w:rFonts w:ascii="宋体" w:eastAsia="宋体" w:hAnsi="宋体" w:cs="宋体"/>
                <w:sz w:val="24"/>
                <w:szCs w:val="24"/>
              </w:rPr>
            </w:pPr>
            <w:r>
              <w:t>（</w:t>
            </w:r>
            <w:r>
              <w:t>1</w:t>
            </w:r>
            <w:r>
              <w:t>）红细胞计数</w:t>
            </w:r>
            <w:r>
              <w:br/>
            </w:r>
            <w:r>
              <w:t>（</w:t>
            </w:r>
            <w:r>
              <w:t>2</w:t>
            </w:r>
            <w:r>
              <w:t>）血红蛋白</w:t>
            </w:r>
            <w:r>
              <w:br/>
            </w:r>
            <w:r>
              <w:t>（</w:t>
            </w:r>
            <w:r>
              <w:t>3</w:t>
            </w:r>
            <w:r>
              <w:t>）白细胞计数与分类</w:t>
            </w:r>
            <w:r>
              <w:br/>
            </w:r>
            <w:r>
              <w:t>（</w:t>
            </w:r>
            <w:r>
              <w:t>4</w:t>
            </w:r>
            <w:r>
              <w:t xml:space="preserve">）血小板计数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（二）尿常规检查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常用指标及其临床意义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wordWrap w:val="0"/>
              <w:rPr>
                <w:rFonts w:ascii="宋体" w:eastAsia="宋体" w:hAnsi="宋体" w:cs="宋体"/>
                <w:sz w:val="24"/>
                <w:szCs w:val="24"/>
              </w:rPr>
            </w:pPr>
            <w:r>
              <w:t>（</w:t>
            </w:r>
            <w:r>
              <w:t>1</w:t>
            </w:r>
            <w:r>
              <w:t>）尿液酸碱度、尿比重</w:t>
            </w:r>
            <w:r>
              <w:br/>
            </w:r>
            <w:r>
              <w:t>（</w:t>
            </w:r>
            <w:r>
              <w:t>2</w:t>
            </w:r>
            <w:r>
              <w:t>）尿蛋白、尿隐血、尿中白细胞、尿沉渣管型、尿沉渣结晶</w:t>
            </w:r>
            <w:r>
              <w:br/>
            </w:r>
            <w:r>
              <w:t>（</w:t>
            </w:r>
            <w:r>
              <w:t>3</w:t>
            </w:r>
            <w:r>
              <w:t>）尿葡萄糖、尿酮体</w:t>
            </w:r>
            <w:r>
              <w:br/>
            </w:r>
            <w:r>
              <w:t>（</w:t>
            </w:r>
            <w:r>
              <w:t>4</w:t>
            </w:r>
            <w:r>
              <w:t>）尿胆红素、尿肌酐、尿尿酸</w:t>
            </w:r>
            <w:r>
              <w:br/>
            </w:r>
            <w:r>
              <w:t>（</w:t>
            </w:r>
            <w:r>
              <w:t>5</w:t>
            </w:r>
            <w:r>
              <w:t xml:space="preserve">）尿淀粉酶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（三）粪常规检查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常用指标及其临床意义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wordWrap w:val="0"/>
              <w:rPr>
                <w:rFonts w:ascii="宋体" w:eastAsia="宋体" w:hAnsi="宋体" w:cs="宋体"/>
                <w:sz w:val="24"/>
                <w:szCs w:val="24"/>
              </w:rPr>
            </w:pPr>
            <w:r>
              <w:t>（</w:t>
            </w:r>
            <w:r>
              <w:t>1</w:t>
            </w:r>
            <w:r>
              <w:t>）粪外观</w:t>
            </w:r>
            <w:r>
              <w:br/>
            </w:r>
            <w:r>
              <w:t>（</w:t>
            </w:r>
            <w:r>
              <w:t>2</w:t>
            </w:r>
            <w:r>
              <w:t>）粪隐血</w:t>
            </w:r>
            <w:r>
              <w:br/>
            </w:r>
            <w:r>
              <w:t>（</w:t>
            </w:r>
            <w:r>
              <w:t>3</w:t>
            </w:r>
            <w:r>
              <w:t>）粪胆原</w:t>
            </w:r>
            <w:r>
              <w:br/>
            </w:r>
            <w:r>
              <w:t>（</w:t>
            </w:r>
            <w:r>
              <w:t>4</w:t>
            </w:r>
            <w:r>
              <w:t xml:space="preserve">）粪便细胞显微镜检查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（四）肝功能检查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常用指标及其临床意义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）丙氨酸氨基转移酶</w:t>
            </w:r>
            <w:r>
              <w:br/>
            </w:r>
            <w:r>
              <w:t>（</w:t>
            </w:r>
            <w:r>
              <w:t>2</w:t>
            </w:r>
            <w:r>
              <w:t>）天门冬氨酸氨基转移酶</w:t>
            </w:r>
            <w:r>
              <w:br/>
            </w:r>
            <w:r>
              <w:t>（</w:t>
            </w:r>
            <w:r>
              <w:t>3</w:t>
            </w:r>
            <w:r>
              <w:t>）</w:t>
            </w:r>
            <w:r>
              <w:t>γ-</w:t>
            </w:r>
            <w:r>
              <w:t>谷氨酰转移酶</w:t>
            </w:r>
            <w:r>
              <w:br/>
            </w:r>
            <w:r>
              <w:t>（</w:t>
            </w:r>
            <w:r>
              <w:t>4</w:t>
            </w:r>
            <w:r>
              <w:t>）碱性磷酸酶</w:t>
            </w:r>
            <w:r>
              <w:br/>
            </w:r>
            <w:r>
              <w:t>（</w:t>
            </w:r>
            <w:r>
              <w:t>5</w:t>
            </w:r>
            <w:r>
              <w:t>）总蛋白、白蛋白、球蛋白</w:t>
            </w:r>
            <w:r>
              <w:t>.</w:t>
            </w:r>
            <w:r>
              <w:br/>
            </w:r>
            <w:r>
              <w:t>（</w:t>
            </w:r>
            <w:r>
              <w:t>6</w:t>
            </w:r>
            <w:r>
              <w:t xml:space="preserve">）直接胆红素、总胆红素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（五）肾功能检查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常用指标及其临床意义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）血尿素氮</w:t>
            </w:r>
            <w:r>
              <w:br/>
            </w:r>
            <w:r>
              <w:t>（</w:t>
            </w:r>
            <w:r>
              <w:t>2</w:t>
            </w:r>
            <w:r>
              <w:t xml:space="preserve">）血肌酐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（六）其他常用血生化检查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常用指标及其临床意义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）淀粉酶</w:t>
            </w:r>
            <w:r>
              <w:br/>
            </w:r>
            <w:r>
              <w:t>（</w:t>
            </w:r>
            <w:r>
              <w:t>2</w:t>
            </w:r>
            <w:r>
              <w:t>）肌酸激酶</w:t>
            </w:r>
            <w:r>
              <w:br/>
            </w:r>
            <w:r>
              <w:lastRenderedPageBreak/>
              <w:t>（</w:t>
            </w:r>
            <w:r>
              <w:t>3</w:t>
            </w:r>
            <w:r>
              <w:t>）血尿酸</w:t>
            </w:r>
            <w:r>
              <w:br/>
            </w:r>
            <w:r>
              <w:t>（</w:t>
            </w:r>
            <w:r>
              <w:t>4</w:t>
            </w:r>
            <w:r>
              <w:t>）血糖</w:t>
            </w:r>
            <w:r>
              <w:br/>
            </w:r>
            <w:r>
              <w:t>（</w:t>
            </w:r>
            <w:r>
              <w:t>5</w:t>
            </w:r>
            <w:r>
              <w:t>）血脂</w:t>
            </w:r>
            <w:r>
              <w:br/>
            </w:r>
            <w:r>
              <w:t>（</w:t>
            </w:r>
            <w:r>
              <w:t>6</w:t>
            </w:r>
            <w:r>
              <w:t>）红细胞沉降率</w:t>
            </w:r>
            <w:r>
              <w:br/>
            </w:r>
            <w:r>
              <w:t>（</w:t>
            </w:r>
            <w:r>
              <w:t>7</w:t>
            </w:r>
            <w:r>
              <w:t xml:space="preserve">）凝血酶原时间、国际标准化比值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（七）乙型肝炎血清免疫学检查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常用指标及其临床意义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）乙型肝炎病毒表面抗原</w:t>
            </w:r>
            <w:r>
              <w:br/>
            </w:r>
            <w:r>
              <w:t>（</w:t>
            </w:r>
            <w:r>
              <w:t>2</w:t>
            </w:r>
            <w:r>
              <w:t>）乙型肝炎病毒表面抗体</w:t>
            </w:r>
            <w:r>
              <w:br/>
            </w:r>
            <w:r>
              <w:t>（</w:t>
            </w:r>
            <w:r>
              <w:t>3</w:t>
            </w:r>
            <w:r>
              <w:t>）乙型肝炎病毒</w:t>
            </w:r>
            <w:r>
              <w:t>e</w:t>
            </w:r>
            <w:r>
              <w:t>抗原</w:t>
            </w:r>
            <w:r>
              <w:br/>
            </w:r>
            <w:r>
              <w:t>（</w:t>
            </w:r>
            <w:r>
              <w:t>4</w:t>
            </w:r>
            <w:r>
              <w:t>）乙型肝炎病毒</w:t>
            </w:r>
            <w:r>
              <w:t>e</w:t>
            </w:r>
            <w:r>
              <w:t>抗体</w:t>
            </w:r>
            <w:r>
              <w:br/>
            </w:r>
            <w:r>
              <w:t>（</w:t>
            </w:r>
            <w:r>
              <w:t>5</w:t>
            </w:r>
            <w:r>
              <w:t xml:space="preserve">）乙型肝炎病毒核心抗体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八、常见病症的药物治疗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（一）发热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）发热的指标与病因</w:t>
            </w:r>
            <w:r>
              <w:br/>
            </w:r>
            <w:r>
              <w:t>（</w:t>
            </w:r>
            <w:r>
              <w:t>2</w:t>
            </w: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（二）疼痛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常见疼痛（头痛、神经痛、牙痛、腹痛、颈肩痛、腰腿痛、关节痛等）的表现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（三）视疲劳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治疗与患者教育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（四）沙眼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临床表现和分期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（五）急性结膜炎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临床表现和分型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（六）鼻塞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）鼻塞的病因</w:t>
            </w:r>
            <w:r>
              <w:br/>
            </w:r>
            <w:r>
              <w:t>（</w:t>
            </w:r>
            <w:r>
              <w:t>2</w:t>
            </w: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（七）过敏性鼻炎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lastRenderedPageBreak/>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（八）咳嗽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咳嗽的临床表现与分型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（九）上感与流感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）上感与流感病原体的区别</w:t>
            </w:r>
            <w:r>
              <w:br/>
            </w:r>
            <w:r>
              <w:t>（</w:t>
            </w:r>
            <w:r>
              <w:t>2</w:t>
            </w:r>
            <w:r>
              <w:t xml:space="preserve">）上感和流感的临床表现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）感冒药的处方组成</w:t>
            </w:r>
            <w:r>
              <w:br/>
            </w:r>
            <w:r>
              <w:t>（</w:t>
            </w:r>
            <w:r>
              <w:t>2</w:t>
            </w:r>
            <w:r>
              <w:t>）非处方药和处方药</w:t>
            </w:r>
            <w:r>
              <w:br/>
            </w:r>
            <w:r>
              <w:t>（</w:t>
            </w:r>
            <w:r>
              <w:t>3</w:t>
            </w:r>
            <w:r>
              <w:t xml:space="preserve">）用药注意事项与患者教育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八、常见病症的药物治疗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（十）口腔溃疡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（十一）消化不良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）消化不良的病因</w:t>
            </w:r>
            <w:r>
              <w:br/>
            </w:r>
            <w:r>
              <w:t>（</w:t>
            </w:r>
            <w:r>
              <w:t>2</w:t>
            </w: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（十二）腹泻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）腹泻的分型</w:t>
            </w:r>
            <w:r>
              <w:br/>
            </w:r>
            <w:r>
              <w:t>（</w:t>
            </w:r>
            <w:r>
              <w:t>2</w:t>
            </w: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（十三）便秘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）便秘的病因</w:t>
            </w:r>
            <w:r>
              <w:br/>
            </w:r>
            <w:r>
              <w:t>（</w:t>
            </w:r>
            <w:r>
              <w:t>2</w:t>
            </w: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（十四）痔疮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）痔疮的病因</w:t>
            </w:r>
            <w:r>
              <w:br/>
            </w:r>
            <w:r>
              <w:t>（</w:t>
            </w:r>
            <w:r>
              <w:t>2</w:t>
            </w: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（十五）肠道寄生虫病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（十六）营养不良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临床基础与患者教育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临床表现与处理、患者教育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（十七）阴道炎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类型和临床表现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（十八）痛经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（十九）痤疮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）病因</w:t>
            </w:r>
            <w:r>
              <w:br/>
            </w:r>
            <w:r>
              <w:t>（</w:t>
            </w:r>
            <w:r>
              <w:t>2</w:t>
            </w: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（二十）荨麻疹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）病因</w:t>
            </w:r>
            <w:r>
              <w:br/>
            </w:r>
            <w:r>
              <w:t>（</w:t>
            </w:r>
            <w:r>
              <w:t>2</w:t>
            </w: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（二十一）湿瘆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八、常见病症的药物治疗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（二十二）烫伤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（二十三）冻伤（疮）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（二十四）手足真菌感染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临床表现和分型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（二十五）昆虫叮咬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）非处方药和处方药</w:t>
            </w:r>
            <w:r>
              <w:br/>
            </w:r>
            <w:r>
              <w:t>（</w:t>
            </w:r>
            <w:r>
              <w:t>2</w:t>
            </w:r>
            <w:r>
              <w:t xml:space="preserve">）用药注意事项与患者教育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九、呼吸系统常见病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（一）肺炎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肺炎的临床表现与分类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）抗菌药物的合理应用原则</w:t>
            </w:r>
            <w:r>
              <w:br/>
            </w:r>
            <w:r>
              <w:t>（</w:t>
            </w:r>
            <w:r>
              <w:t>2</w:t>
            </w:r>
            <w:r>
              <w:t>）社区获得性肺炎治疗药物的选择</w:t>
            </w:r>
            <w:r>
              <w:br/>
            </w:r>
            <w:r>
              <w:t>（</w:t>
            </w:r>
            <w:r>
              <w:t>3</w:t>
            </w:r>
            <w:r>
              <w:t>）医院获得性肺炎治疗药物的选择和合理使用</w:t>
            </w:r>
            <w:r>
              <w:br/>
            </w:r>
            <w:r>
              <w:t>（</w:t>
            </w:r>
            <w:r>
              <w:t>4</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（二）支气管哮喘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）哮喘的临床表现与分期</w:t>
            </w:r>
            <w:r>
              <w:br/>
            </w:r>
            <w:r>
              <w:t>（</w:t>
            </w:r>
            <w:r>
              <w:t>2</w:t>
            </w:r>
            <w:r>
              <w:t xml:space="preserve">）治疗原则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）急性发作期用药和合理使用</w:t>
            </w:r>
            <w:r>
              <w:br/>
            </w:r>
            <w:r>
              <w:t>（</w:t>
            </w:r>
            <w:r>
              <w:t>2</w:t>
            </w:r>
            <w:r>
              <w:t>）慢性持续期治疗和合理用药</w:t>
            </w:r>
            <w:r>
              <w:br/>
            </w:r>
            <w:r>
              <w:t>（</w:t>
            </w:r>
            <w:r>
              <w:t>3</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（三）慢性阻塞性肺病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）临床表现与分期</w:t>
            </w:r>
            <w:r>
              <w:br/>
            </w:r>
            <w:r>
              <w:t>（</w:t>
            </w:r>
            <w:r>
              <w:t>2</w:t>
            </w:r>
            <w:r>
              <w:t xml:space="preserve">）治疗原则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（四）肺结核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）临床表现与分型</w:t>
            </w:r>
            <w:r>
              <w:br/>
            </w:r>
            <w:r>
              <w:t>（</w:t>
            </w:r>
            <w:r>
              <w:t>2</w:t>
            </w:r>
            <w:r>
              <w:t xml:space="preserve">）治疗原则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用药注意事项与患者教育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十、心血管系统常见病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（一）高血压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）定义、分类及不良预后</w:t>
            </w:r>
            <w:r>
              <w:br/>
            </w:r>
            <w:r>
              <w:t>（</w:t>
            </w:r>
            <w:r>
              <w:t>2</w:t>
            </w:r>
            <w:r>
              <w:t xml:space="preserve">）治疗原则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）降压药物的合理使用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（二）冠状动脉粥样硬化性心脏病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）心绞痛的分类（稳定型与不稳定型）与临床表现</w:t>
            </w:r>
            <w:r>
              <w:br/>
            </w:r>
            <w:r>
              <w:t>（</w:t>
            </w:r>
            <w:r>
              <w:t>2</w:t>
            </w:r>
            <w:r>
              <w:t>）急性心肌梗死的临床表现</w:t>
            </w:r>
            <w:r>
              <w:br/>
            </w:r>
            <w:r>
              <w:t>（</w:t>
            </w:r>
            <w:r>
              <w:t>3</w:t>
            </w:r>
            <w:r>
              <w:t xml:space="preserve">）急性心肌梗死的治疗原则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）心绞痛的药物治疗原则</w:t>
            </w:r>
            <w:r>
              <w:br/>
            </w:r>
            <w:r>
              <w:t>（</w:t>
            </w:r>
            <w:r>
              <w:t>2</w:t>
            </w:r>
            <w:r>
              <w:t>）治疗稳定型心绞痛的药物合理使用</w:t>
            </w:r>
            <w:r>
              <w:br/>
            </w:r>
            <w:r>
              <w:lastRenderedPageBreak/>
              <w:t>（</w:t>
            </w:r>
            <w:r>
              <w:t>3</w:t>
            </w:r>
            <w:r>
              <w:t>）用药注意事项与患者教育</w:t>
            </w:r>
            <w:r>
              <w:br/>
            </w:r>
            <w:r>
              <w:t>（</w:t>
            </w:r>
            <w:r>
              <w:t>4</w:t>
            </w:r>
            <w:r>
              <w:t xml:space="preserve">）一级预防和二级预防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（三）血脂异常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分型及治疗原则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）治疗药物的选择</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（四）心力衰竭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不同类型心衰临床表现及治疗原则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（五）心房颤动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房颤的临床表现与不良预后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）治疗药物的合理使用和监测</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（六）深静脉血栓形成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）深静脉血栓的药物治疗与预防</w:t>
            </w:r>
            <w:r>
              <w:br/>
            </w:r>
            <w:r>
              <w:t>（</w:t>
            </w:r>
            <w:r>
              <w:t>2</w:t>
            </w:r>
            <w:r>
              <w:t xml:space="preserve">）用药注意事项与患者教育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十一、神经系统常见病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（一）缺血性脑血管病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）短暂性脑缺血发作的临床表现</w:t>
            </w:r>
            <w:r>
              <w:br/>
            </w:r>
            <w:r>
              <w:t>（</w:t>
            </w:r>
            <w:r>
              <w:t>2</w:t>
            </w:r>
            <w:r>
              <w:t xml:space="preserve">）治疗原则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）临床表现</w:t>
            </w:r>
            <w:r>
              <w:br/>
            </w:r>
            <w:r>
              <w:t>（</w:t>
            </w:r>
            <w:r>
              <w:t>2</w:t>
            </w:r>
            <w:r>
              <w:t xml:space="preserve">）缺血性脑卒中的临床表现及分期治疗原则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（二）脑出血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脑出血治疗原则与患者教育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（三）癫痫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）临床表现</w:t>
            </w:r>
            <w:r>
              <w:br/>
            </w:r>
            <w:r>
              <w:t>（</w:t>
            </w:r>
            <w:r>
              <w:t>2</w:t>
            </w:r>
            <w:r>
              <w:t xml:space="preserve">）治疗原则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（四）帕金森病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治疗药物的合理使用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（五）痴呆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痴呆的分类与临床表现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w:t>
            </w:r>
            <w:r>
              <w:br/>
            </w:r>
            <w:r>
              <w:t>（</w:t>
            </w:r>
            <w:r>
              <w:t>2</w:t>
            </w:r>
            <w:r>
              <w:t xml:space="preserve">）患者教育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（六）焦虑障碍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（七）抑郁症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（八）失眠症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）临床表现</w:t>
            </w:r>
            <w:r>
              <w:br/>
            </w:r>
            <w:r>
              <w:t>（</w:t>
            </w:r>
            <w:r>
              <w:t>2</w:t>
            </w:r>
            <w:r>
              <w:t xml:space="preserve">）治疗原则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用药注意事项　　</w:t>
            </w:r>
          </w:p>
        </w:tc>
      </w:tr>
      <w:tr w:rsidR="00DD5EAF" w:rsidTr="00DD5EA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rPr>
                <w:noProof/>
              </w:rPr>
              <w:drawing>
                <wp:inline distT="0" distB="0" distL="0" distR="0">
                  <wp:extent cx="5876925" cy="3648075"/>
                  <wp:effectExtent l="19050" t="0" r="9525" b="0"/>
                  <wp:docPr id="1" name="图片 2" descr="http://file.koolearn.com/20150209/14234457693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koolearn.com/20150209/14234457693864.png"/>
                          <pic:cNvPicPr>
                            <a:picLocks noChangeAspect="1" noChangeArrowheads="1"/>
                          </pic:cNvPicPr>
                        </pic:nvPicPr>
                        <pic:blipFill>
                          <a:blip r:embed="rId10"/>
                          <a:srcRect/>
                          <a:stretch>
                            <a:fillRect/>
                          </a:stretch>
                        </pic:blipFill>
                        <pic:spPr bwMode="auto">
                          <a:xfrm>
                            <a:off x="0" y="0"/>
                            <a:ext cx="5876925" cy="3648075"/>
                          </a:xfrm>
                          <a:prstGeom prst="rect">
                            <a:avLst/>
                          </a:prstGeom>
                          <a:noFill/>
                          <a:ln w="9525">
                            <a:noFill/>
                            <a:miter lim="800000"/>
                            <a:headEnd/>
                            <a:tailEnd/>
                          </a:ln>
                        </pic:spPr>
                      </pic:pic>
                    </a:graphicData>
                  </a:graphic>
                </wp:inline>
              </w:drawing>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十三、内分泌及代谢性病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（一）甲状腺功能亢进症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（二）甲状腺功能减退症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wordWrap w:val="0"/>
              <w:rPr>
                <w:rFonts w:ascii="宋体" w:eastAsia="宋体" w:hAnsi="宋体" w:cs="宋体"/>
                <w:sz w:val="24"/>
                <w:szCs w:val="24"/>
              </w:rPr>
            </w:pPr>
            <w:r>
              <w:t xml:space="preserve">（三）糖尿病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）分型及诊断依据</w:t>
            </w:r>
            <w:r>
              <w:br/>
            </w:r>
            <w:r>
              <w:t>（</w:t>
            </w:r>
            <w:r>
              <w:t>2</w:t>
            </w:r>
            <w:r>
              <w:t xml:space="preserve">）并发症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（四）骨质疏松症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骨质疏松的并发症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（五）佝偻病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）预防和治疗药物的合理使用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（六）高尿酸血症与痛风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临床表现和分期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十四、泌尿系统常见病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（一）尿路感染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（二）尿失禁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（三）下尿路症状</w:t>
            </w:r>
            <w:r>
              <w:t>/</w:t>
            </w:r>
            <w:r>
              <w:t xml:space="preserve">良性前列腺增生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十五、血液系统疾病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（一）缺铁性贫血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临床表现及诊断依据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（二）巨幼细胞性贫血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临床表现及诊断依据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十六、恶性肿瘤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（一）治疗原则与注意事项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常见药物不良反应及处理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（二）和缓医疗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）原则</w:t>
            </w:r>
            <w:r>
              <w:br/>
            </w:r>
            <w:r>
              <w:t>（</w:t>
            </w:r>
            <w:r>
              <w:t>2</w:t>
            </w:r>
            <w:r>
              <w:t xml:space="preserve">）常见症状处理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十七、常见骨关节疾病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（一）类风湿关节炎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（二）骨性关节炎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常用</w:t>
            </w:r>
            <w:r>
              <w:t>NSAIDs</w:t>
            </w:r>
            <w:r>
              <w:t xml:space="preserve">类药物的用法及不良反应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十八、病毒性疾病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（一）病毒性肝炎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分型及诊断依据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）患者教育和健康宣传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（二）艾滋病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）患者教育和健康宣传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（三）带状疱疹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（四）单纯性疱疹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分型及治疗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十九、妇科疾病与计划生育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（一）围绝经期综合征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临床表现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）治疗药物的合理使用</w:t>
            </w:r>
            <w:r>
              <w:br/>
            </w:r>
            <w:r>
              <w:t>（</w:t>
            </w:r>
            <w:r>
              <w:t>2</w:t>
            </w:r>
            <w:r>
              <w:t xml:space="preserve">）用药注意事项与患者教育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（二）计划生育与避孕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临床基础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避孕措施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药物治疗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避孕药物的不良反应及注意事项　　</w:t>
            </w:r>
          </w:p>
        </w:tc>
      </w:tr>
      <w:tr w:rsidR="00DD5EAF" w:rsidTr="00DD5EA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二十、中毒解救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 xml:space="preserve">临床常见中毒物质与解救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1.</w:t>
            </w:r>
            <w:r>
              <w:t xml:space="preserve">一般救治措施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）减少吸收，加速毒物排泄</w:t>
            </w:r>
            <w:r>
              <w:br/>
            </w:r>
            <w:r>
              <w:t>（</w:t>
            </w:r>
            <w:r>
              <w:t>2</w:t>
            </w:r>
            <w:r>
              <w:t xml:space="preserve">）药物拮抗解毒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2.</w:t>
            </w:r>
            <w:r>
              <w:t xml:space="preserve">催眠药、镇静药、阿片类及其他常用药物中毒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）中毒药物确认的方法</w:t>
            </w:r>
            <w:r>
              <w:br/>
            </w:r>
            <w:r>
              <w:t>（</w:t>
            </w:r>
            <w:r>
              <w:t>2</w:t>
            </w:r>
            <w:r>
              <w:t>）急性中毒表现</w:t>
            </w:r>
            <w:r>
              <w:br/>
            </w:r>
            <w:r>
              <w:t>（</w:t>
            </w:r>
            <w:r>
              <w:t>3</w:t>
            </w:r>
            <w:r>
              <w:t>）救治措施</w:t>
            </w:r>
            <w:r>
              <w:br/>
            </w:r>
            <w:r>
              <w:t>（</w:t>
            </w:r>
            <w:r>
              <w:t>4</w:t>
            </w:r>
            <w:r>
              <w:t xml:space="preserve">）常用解毒药和拮抗药的作用原理、选择和临床应用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3.</w:t>
            </w:r>
            <w:r>
              <w:t xml:space="preserve">有机磷、香豆素类杀鼠药、氟乙酰胺、氰化物、磷化锌以及各种重金属中毒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）中毒表现</w:t>
            </w:r>
            <w:r>
              <w:br/>
            </w:r>
            <w:r>
              <w:t>（</w:t>
            </w:r>
            <w:r>
              <w:t>2</w:t>
            </w:r>
            <w:r>
              <w:t>）治疗原则</w:t>
            </w:r>
            <w:r>
              <w:br/>
            </w:r>
            <w:r>
              <w:t>（</w:t>
            </w:r>
            <w:r>
              <w:t>3</w:t>
            </w:r>
            <w:r>
              <w:t xml:space="preserve">）治疗药物选择和合理使用　　</w:t>
            </w:r>
          </w:p>
        </w:tc>
      </w:tr>
      <w:tr w:rsidR="00DD5EAF" w:rsidTr="00DD5EA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4.</w:t>
            </w:r>
            <w:r>
              <w:t xml:space="preserve">蛇咬伤中毒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EAF" w:rsidRDefault="00DD5EAF">
            <w:pPr>
              <w:rPr>
                <w:rFonts w:ascii="宋体" w:eastAsia="宋体" w:hAnsi="宋体" w:cs="宋体"/>
                <w:sz w:val="24"/>
                <w:szCs w:val="24"/>
              </w:rPr>
            </w:pPr>
            <w:r>
              <w:t>（</w:t>
            </w:r>
            <w:r>
              <w:t>1</w:t>
            </w:r>
            <w:r>
              <w:t>）中毒表现</w:t>
            </w:r>
            <w:r>
              <w:br/>
            </w:r>
            <w:r>
              <w:t>（</w:t>
            </w:r>
            <w:r>
              <w:t>2</w:t>
            </w:r>
            <w:r>
              <w:t>）治疗原则</w:t>
            </w:r>
            <w:r>
              <w:br/>
            </w:r>
            <w:r>
              <w:t>（</w:t>
            </w:r>
            <w:r>
              <w:t>3</w:t>
            </w:r>
            <w:r>
              <w:t xml:space="preserve">）治疗药物选择　　</w:t>
            </w:r>
          </w:p>
        </w:tc>
      </w:tr>
    </w:tbl>
    <w:p w:rsidR="00DD5EAF" w:rsidRPr="00DD5EAF" w:rsidRDefault="00DD5EAF" w:rsidP="00DD5EAF">
      <w:pPr>
        <w:jc w:val="left"/>
        <w:rPr>
          <w:b/>
          <w:szCs w:val="21"/>
        </w:rPr>
      </w:pPr>
    </w:p>
    <w:sectPr w:rsidR="00DD5EAF" w:rsidRPr="00DD5EAF" w:rsidSect="004E3012">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096" w:rsidRDefault="00123096" w:rsidP="00632661">
      <w:r>
        <w:separator/>
      </w:r>
    </w:p>
  </w:endnote>
  <w:endnote w:type="continuationSeparator" w:id="1">
    <w:p w:rsidR="00123096" w:rsidRDefault="00123096" w:rsidP="006326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096" w:rsidRDefault="00123096" w:rsidP="00632661">
      <w:r>
        <w:separator/>
      </w:r>
    </w:p>
  </w:footnote>
  <w:footnote w:type="continuationSeparator" w:id="1">
    <w:p w:rsidR="00123096" w:rsidRDefault="00123096" w:rsidP="00632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41" w:rsidRPr="00C959DB" w:rsidRDefault="00146C41" w:rsidP="002C520A">
    <w:pPr>
      <w:pStyle w:val="a3"/>
      <w:jc w:val="both"/>
      <w:rPr>
        <w:rFonts w:asciiTheme="minorEastAsia" w:hAnsiTheme="minorEastAsia"/>
      </w:rPr>
    </w:pPr>
    <w:r>
      <w:ptab w:relativeTo="margin" w:alignment="center" w:leader="none"/>
    </w:r>
    <w:r w:rsidR="002C520A">
      <w:rPr>
        <w:noProof/>
      </w:rPr>
      <w:drawing>
        <wp:inline distT="0" distB="0" distL="0" distR="0">
          <wp:extent cx="1428750" cy="476250"/>
          <wp:effectExtent l="19050" t="0" r="0" b="0"/>
          <wp:docPr id="3" name="图片 2" descr="C:\Users\jinjunliang\Desktop\logo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junliang\Desktop\logo_副本.jpg"/>
                  <pic:cNvPicPr>
                    <a:picLocks noChangeAspect="1" noChangeArrowheads="1"/>
                  </pic:cNvPicPr>
                </pic:nvPicPr>
                <pic:blipFill>
                  <a:blip r:embed="rId1"/>
                  <a:srcRect/>
                  <a:stretch>
                    <a:fillRect/>
                  </a:stretch>
                </pic:blipFill>
                <pic:spPr bwMode="auto">
                  <a:xfrm>
                    <a:off x="0" y="0"/>
                    <a:ext cx="1428750" cy="476250"/>
                  </a:xfrm>
                  <a:prstGeom prst="rect">
                    <a:avLst/>
                  </a:prstGeom>
                  <a:noFill/>
                  <a:ln w="9525">
                    <a:noFill/>
                    <a:miter lim="800000"/>
                    <a:headEnd/>
                    <a:tailEnd/>
                  </a:ln>
                </pic:spPr>
              </pic:pic>
            </a:graphicData>
          </a:graphic>
        </wp:inline>
      </w:drawing>
    </w:r>
    <w:r w:rsidR="00E11215">
      <w:rPr>
        <w:rFonts w:hint="eastAsia"/>
      </w:rPr>
      <w:t xml:space="preserve">   </w:t>
    </w:r>
    <w:r w:rsidR="00C959DB">
      <w:rPr>
        <w:rFonts w:hint="eastAsia"/>
      </w:rPr>
      <w:t xml:space="preserve">          </w:t>
    </w:r>
    <w:r w:rsidR="007E1A7A" w:rsidRPr="00C959DB">
      <w:rPr>
        <w:rFonts w:asciiTheme="minorEastAsia" w:hAnsiTheme="minorEastAsia" w:hint="eastAsia"/>
      </w:rPr>
      <w:t>新东方在线</w:t>
    </w:r>
    <w:r w:rsidR="00B75912" w:rsidRPr="00C959DB">
      <w:rPr>
        <w:rFonts w:asciiTheme="minorEastAsia" w:hAnsiTheme="minorEastAsia" w:hint="eastAsia"/>
      </w:rPr>
      <w:t>医学教育网</w:t>
    </w:r>
    <w:r w:rsidR="00C959DB" w:rsidRPr="00C959DB">
      <w:rPr>
        <w:rFonts w:asciiTheme="minorEastAsia" w:hAnsiTheme="minorEastAsia" w:hint="eastAsia"/>
      </w:rPr>
      <w:t>(</w:t>
    </w:r>
    <w:r w:rsidR="00C959DB" w:rsidRPr="00C959DB">
      <w:rPr>
        <w:rFonts w:asciiTheme="minorEastAsia" w:hAnsiTheme="minorEastAsia"/>
      </w:rPr>
      <w:t>http://yixue.koolearn.com/</w:t>
    </w:r>
    <w:r w:rsidR="00C959DB" w:rsidRPr="00C959DB">
      <w:rPr>
        <w:rFonts w:asciiTheme="minorEastAsia" w:hAnsiTheme="minorEastAsia" w:hint="eastAsia"/>
      </w:rPr>
      <w:t>)</w:t>
    </w:r>
    <w:r w:rsidR="00274A61" w:rsidRPr="00C959DB">
      <w:rPr>
        <w:rFonts w:asciiTheme="minorEastAsia" w:hAnsiTheme="minorEastAsia" w:hint="eastAsia"/>
      </w:rPr>
      <w:t>分享</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661"/>
    <w:rsid w:val="000B27E7"/>
    <w:rsid w:val="00123096"/>
    <w:rsid w:val="00146C41"/>
    <w:rsid w:val="00161DA0"/>
    <w:rsid w:val="001A2EC6"/>
    <w:rsid w:val="00237EBD"/>
    <w:rsid w:val="00274A61"/>
    <w:rsid w:val="002942C5"/>
    <w:rsid w:val="00294776"/>
    <w:rsid w:val="002B57BD"/>
    <w:rsid w:val="002C520A"/>
    <w:rsid w:val="002E1F1C"/>
    <w:rsid w:val="003C0DE4"/>
    <w:rsid w:val="004A0752"/>
    <w:rsid w:val="004E3012"/>
    <w:rsid w:val="00590506"/>
    <w:rsid w:val="00632661"/>
    <w:rsid w:val="00780D89"/>
    <w:rsid w:val="007A2045"/>
    <w:rsid w:val="007E1A7A"/>
    <w:rsid w:val="00842537"/>
    <w:rsid w:val="008F1262"/>
    <w:rsid w:val="00931403"/>
    <w:rsid w:val="00993A9E"/>
    <w:rsid w:val="009A789F"/>
    <w:rsid w:val="00A30FB5"/>
    <w:rsid w:val="00A75C36"/>
    <w:rsid w:val="00B75912"/>
    <w:rsid w:val="00BD2C99"/>
    <w:rsid w:val="00C5110E"/>
    <w:rsid w:val="00C71F51"/>
    <w:rsid w:val="00C959DB"/>
    <w:rsid w:val="00C970CE"/>
    <w:rsid w:val="00CE0DE1"/>
    <w:rsid w:val="00D20134"/>
    <w:rsid w:val="00D96C0A"/>
    <w:rsid w:val="00DD5EAF"/>
    <w:rsid w:val="00E11215"/>
    <w:rsid w:val="00E52381"/>
    <w:rsid w:val="00E61831"/>
    <w:rsid w:val="00F374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12"/>
    <w:pPr>
      <w:widowControl w:val="0"/>
      <w:jc w:val="both"/>
    </w:pPr>
  </w:style>
  <w:style w:type="paragraph" w:styleId="1">
    <w:name w:val="heading 1"/>
    <w:basedOn w:val="a"/>
    <w:link w:val="1Char"/>
    <w:uiPriority w:val="9"/>
    <w:qFormat/>
    <w:rsid w:val="00DD5E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6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2661"/>
    <w:rPr>
      <w:sz w:val="18"/>
      <w:szCs w:val="18"/>
    </w:rPr>
  </w:style>
  <w:style w:type="paragraph" w:styleId="a4">
    <w:name w:val="footer"/>
    <w:basedOn w:val="a"/>
    <w:link w:val="Char0"/>
    <w:uiPriority w:val="99"/>
    <w:semiHidden/>
    <w:unhideWhenUsed/>
    <w:rsid w:val="006326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2661"/>
    <w:rPr>
      <w:sz w:val="18"/>
      <w:szCs w:val="18"/>
    </w:rPr>
  </w:style>
  <w:style w:type="paragraph" w:styleId="a5">
    <w:name w:val="Balloon Text"/>
    <w:basedOn w:val="a"/>
    <w:link w:val="Char1"/>
    <w:uiPriority w:val="99"/>
    <w:semiHidden/>
    <w:unhideWhenUsed/>
    <w:rsid w:val="00146C41"/>
    <w:rPr>
      <w:sz w:val="18"/>
      <w:szCs w:val="18"/>
    </w:rPr>
  </w:style>
  <w:style w:type="character" w:customStyle="1" w:styleId="Char1">
    <w:name w:val="批注框文本 Char"/>
    <w:basedOn w:val="a0"/>
    <w:link w:val="a5"/>
    <w:uiPriority w:val="99"/>
    <w:semiHidden/>
    <w:rsid w:val="00146C41"/>
    <w:rPr>
      <w:sz w:val="18"/>
      <w:szCs w:val="18"/>
    </w:rPr>
  </w:style>
  <w:style w:type="character" w:styleId="a6">
    <w:name w:val="Hyperlink"/>
    <w:basedOn w:val="a0"/>
    <w:uiPriority w:val="99"/>
    <w:unhideWhenUsed/>
    <w:rsid w:val="008F1262"/>
    <w:rPr>
      <w:color w:val="0000FF" w:themeColor="hyperlink"/>
      <w:u w:val="single"/>
    </w:rPr>
  </w:style>
  <w:style w:type="character" w:styleId="a7">
    <w:name w:val="Strong"/>
    <w:basedOn w:val="a0"/>
    <w:uiPriority w:val="22"/>
    <w:qFormat/>
    <w:rsid w:val="007A2045"/>
    <w:rPr>
      <w:b/>
      <w:bCs/>
    </w:rPr>
  </w:style>
  <w:style w:type="paragraph" w:styleId="a8">
    <w:name w:val="Normal (Web)"/>
    <w:basedOn w:val="a"/>
    <w:uiPriority w:val="99"/>
    <w:semiHidden/>
    <w:unhideWhenUsed/>
    <w:rsid w:val="007A204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DD5EA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37115900">
      <w:bodyDiv w:val="1"/>
      <w:marLeft w:val="0"/>
      <w:marRight w:val="0"/>
      <w:marTop w:val="0"/>
      <w:marBottom w:val="0"/>
      <w:divBdr>
        <w:top w:val="none" w:sz="0" w:space="0" w:color="auto"/>
        <w:left w:val="none" w:sz="0" w:space="0" w:color="auto"/>
        <w:bottom w:val="none" w:sz="0" w:space="0" w:color="auto"/>
        <w:right w:val="none" w:sz="0" w:space="0" w:color="auto"/>
      </w:divBdr>
      <w:divsChild>
        <w:div w:id="1792244729">
          <w:marLeft w:val="0"/>
          <w:marRight w:val="0"/>
          <w:marTop w:val="180"/>
          <w:marBottom w:val="0"/>
          <w:divBdr>
            <w:top w:val="none" w:sz="0" w:space="0" w:color="auto"/>
            <w:left w:val="none" w:sz="0" w:space="0" w:color="auto"/>
            <w:bottom w:val="none" w:sz="0" w:space="0" w:color="auto"/>
            <w:right w:val="none" w:sz="0" w:space="0" w:color="auto"/>
          </w:divBdr>
          <w:divsChild>
            <w:div w:id="160780206">
              <w:marLeft w:val="0"/>
              <w:marRight w:val="0"/>
              <w:marTop w:val="0"/>
              <w:marBottom w:val="0"/>
              <w:divBdr>
                <w:top w:val="none" w:sz="0" w:space="0" w:color="auto"/>
                <w:left w:val="none" w:sz="0" w:space="0" w:color="auto"/>
                <w:bottom w:val="none" w:sz="0" w:space="0" w:color="auto"/>
                <w:right w:val="none" w:sz="0" w:space="0" w:color="auto"/>
              </w:divBdr>
              <w:divsChild>
                <w:div w:id="20297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6502">
      <w:bodyDiv w:val="1"/>
      <w:marLeft w:val="0"/>
      <w:marRight w:val="0"/>
      <w:marTop w:val="0"/>
      <w:marBottom w:val="0"/>
      <w:divBdr>
        <w:top w:val="none" w:sz="0" w:space="0" w:color="auto"/>
        <w:left w:val="none" w:sz="0" w:space="0" w:color="auto"/>
        <w:bottom w:val="none" w:sz="0" w:space="0" w:color="auto"/>
        <w:right w:val="none" w:sz="0" w:space="0" w:color="auto"/>
      </w:divBdr>
    </w:div>
    <w:div w:id="1876230181">
      <w:bodyDiv w:val="1"/>
      <w:marLeft w:val="0"/>
      <w:marRight w:val="0"/>
      <w:marTop w:val="0"/>
      <w:marBottom w:val="0"/>
      <w:divBdr>
        <w:top w:val="none" w:sz="0" w:space="0" w:color="auto"/>
        <w:left w:val="none" w:sz="0" w:space="0" w:color="auto"/>
        <w:bottom w:val="none" w:sz="0" w:space="0" w:color="auto"/>
        <w:right w:val="none" w:sz="0" w:space="0" w:color="auto"/>
      </w:divBdr>
    </w:div>
    <w:div w:id="1915359953">
      <w:bodyDiv w:val="1"/>
      <w:marLeft w:val="0"/>
      <w:marRight w:val="0"/>
      <w:marTop w:val="0"/>
      <w:marBottom w:val="0"/>
      <w:divBdr>
        <w:top w:val="none" w:sz="0" w:space="0" w:color="auto"/>
        <w:left w:val="none" w:sz="0" w:space="0" w:color="auto"/>
        <w:bottom w:val="none" w:sz="0" w:space="0" w:color="auto"/>
        <w:right w:val="none" w:sz="0" w:space="0" w:color="auto"/>
      </w:divBdr>
      <w:divsChild>
        <w:div w:id="334265869">
          <w:marLeft w:val="0"/>
          <w:marRight w:val="0"/>
          <w:marTop w:val="180"/>
          <w:marBottom w:val="0"/>
          <w:divBdr>
            <w:top w:val="none" w:sz="0" w:space="0" w:color="auto"/>
            <w:left w:val="none" w:sz="0" w:space="0" w:color="auto"/>
            <w:bottom w:val="none" w:sz="0" w:space="0" w:color="auto"/>
            <w:right w:val="none" w:sz="0" w:space="0" w:color="auto"/>
          </w:divBdr>
          <w:divsChild>
            <w:div w:id="807431973">
              <w:marLeft w:val="0"/>
              <w:marRight w:val="0"/>
              <w:marTop w:val="0"/>
              <w:marBottom w:val="0"/>
              <w:divBdr>
                <w:top w:val="none" w:sz="0" w:space="0" w:color="auto"/>
                <w:left w:val="none" w:sz="0" w:space="0" w:color="auto"/>
                <w:bottom w:val="none" w:sz="0" w:space="0" w:color="auto"/>
                <w:right w:val="none" w:sz="0" w:space="0" w:color="auto"/>
              </w:divBdr>
              <w:divsChild>
                <w:div w:id="1888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ixue.koolear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yixue.koolearn.com/zyyaosh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ixue.koolearn.com/zyyaosh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1288</Words>
  <Characters>7347</Characters>
  <Application>Microsoft Office Word</Application>
  <DocSecurity>0</DocSecurity>
  <Lines>61</Lines>
  <Paragraphs>17</Paragraphs>
  <ScaleCrop>false</ScaleCrop>
  <Company>Lenovo</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jinjunliang</dc:creator>
  <cp:keywords/>
  <dc:description/>
  <cp:lastModifiedBy>jinjunliang</cp:lastModifiedBy>
  <cp:revision>50</cp:revision>
  <dcterms:created xsi:type="dcterms:W3CDTF">2014-07-30T10:29:00Z</dcterms:created>
  <dcterms:modified xsi:type="dcterms:W3CDTF">2015-02-09T01:42:00Z</dcterms:modified>
</cp:coreProperties>
</file>